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projekts tiešām nekādā veidā neietekmē nevienu sabiedrības grupu, ņemot vēra, ka no noteikumu projekta izriet grozījumi attiecībā uz atbalsta saņēmēju maksājumu kontiem.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ņemot vērā, ka atbilstoši Ministru kabineta 2022. gada 24. maija noteikumu Nr. 319 "Kārtība, kādā administrē un uzrauga Eiropas Jūrlietu, zvejniecības un akvakultūras fondu, kā arī valsts atbalstu zvejniecības un akvakultūras attīstībai 2021.–2027. gada plānošanas periodā" (turpmāk - noteikumi Nr.319) redakcijai un anotācijai tā 24. punkts ievieš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83. panta "a"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noteikumu projektu un izvērtēt, vai uz to attiecināmās, anotācijā nenorādītās (iepriekš ieviestās), Eiropas Savienības tiesību normas joprojām ir attiecināmas. Šādā gadījumā, iesakām papildināt anotācijas 5. sadaļu ar norādēm uz Eiropas Savienības tiesību normām vai norādīt, ka līdz šim ieviestās, no Eiropas Savienības tiesību normām izrietošās prasības netiek mainītas un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07.02.2025.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07.02.2025.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Atzinumi_24-TA-2907.docx</dc:title>
</cp:coreProperties>
</file>

<file path=docProps/custom.xml><?xml version="1.0" encoding="utf-8"?>
<Properties xmlns="http://schemas.openxmlformats.org/officeDocument/2006/custom-properties" xmlns:vt="http://schemas.openxmlformats.org/officeDocument/2006/docPropsVTypes"/>
</file>