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2.1.1.4. pasākumam sastāda 101 696 160 </w:t>
            </w:r>
            <w:r w:rsidR="00000000" w:rsidRPr="00000000" w:rsidDel="00000000">
              <w:rPr>
                <w:i w:val="1"/>
                <w:rtl w:val="0"/>
              </w:rPr>
              <w:t xml:space="preserve">euro</w:t>
            </w:r>
            <w:r w:rsidR="00000000" w:rsidRPr="00000000" w:rsidDel="00000000">
              <w:rPr>
                <w:rtl w:val="0"/>
              </w:rPr>
              <w:t xml:space="preserve"> (no tā elastības finansējuma apjoms – 16 040 058 </w:t>
            </w:r>
            <w:r w:rsidR="00000000" w:rsidRPr="00000000" w:rsidDel="00000000">
              <w:rPr>
                <w:i w:val="1"/>
                <w:rtl w:val="0"/>
              </w:rPr>
              <w:t xml:space="preserve">euro</w:t>
            </w:r>
            <w:r w:rsidR="00000000" w:rsidRPr="00000000" w:rsidDel="00000000">
              <w:rPr>
                <w:rtl w:val="0"/>
              </w:rPr>
              <w:t xml:space="preserve">), tai skaitā Eiropas Reģionālās attīstības fonda finansējums 86 441 736 </w:t>
            </w:r>
            <w:r w:rsidR="00000000" w:rsidRPr="00000000" w:rsidDel="00000000">
              <w:rPr>
                <w:i w:val="1"/>
                <w:rtl w:val="0"/>
              </w:rPr>
              <w:t xml:space="preserve">euro </w:t>
            </w:r>
            <w:r w:rsidR="00000000" w:rsidRPr="00000000" w:rsidDel="00000000">
              <w:rPr>
                <w:rtl w:val="0"/>
              </w:rPr>
              <w:t xml:space="preserve">(no tā elastības finansējuma apjoms – 13 634 050 </w:t>
            </w:r>
            <w:r w:rsidR="00000000" w:rsidRPr="00000000" w:rsidDel="00000000">
              <w:rPr>
                <w:i w:val="1"/>
                <w:rtl w:val="0"/>
              </w:rPr>
              <w:t xml:space="preserve">euro</w:t>
            </w:r>
            <w:r w:rsidR="00000000" w:rsidRPr="00000000" w:rsidDel="00000000">
              <w:rPr>
                <w:rtl w:val="0"/>
              </w:rPr>
              <w:t xml:space="preserve">), valsts budžeta līdzfinansējums –15 254 424 </w:t>
            </w:r>
            <w:r w:rsidR="00000000" w:rsidRPr="00000000" w:rsidDel="00000000">
              <w:rPr>
                <w:i w:val="1"/>
                <w:rtl w:val="0"/>
              </w:rPr>
              <w:t xml:space="preserve">euro </w:t>
            </w:r>
            <w:r w:rsidR="00000000" w:rsidRPr="00000000" w:rsidDel="00000000">
              <w:rPr>
                <w:rtl w:val="0"/>
              </w:rPr>
              <w:t xml:space="preserve">(no tā elastības finansējuma apjoms – 2 406 008 </w:t>
            </w:r>
            <w:r w:rsidR="00000000" w:rsidRPr="00000000" w:rsidDel="00000000">
              <w:rPr>
                <w:i w:val="1"/>
                <w:rtl w:val="0"/>
              </w:rPr>
              <w:t xml:space="preserve">euro</w:t>
            </w:r>
            <w:r w:rsidR="00000000" w:rsidRPr="00000000" w:rsidDel="00000000">
              <w:rPr>
                <w:rtl w:val="0"/>
              </w:rPr>
              <w:t xml:space="preserve">), un privātais līdzfinansējums vismaz 2 903 493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projekta 9.1.apakšpunkta izpratnē ir "privātais līdzfinansējums" un kādā veidā tas piesaistāms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2.1.1.4. pasākuma ietvaros projekta iesniedzējs projekta īstenošanai var piesaistīt sadarbības partneri, kas ir valsts kapitālsabiedrība, kura saskaņā ar normatīvajos aktos noteikto deleģējumu vai atbilstoši noslēgtajam sadarbības līgumam lieto, pārvalda vai apsaimnieko valsts nekustamos īpašumus, vai tiešās valsts pārvaldes iestādes padotības iestāde,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sadarbības līgums slēdzams arī tajā gadījumā, ja tiešās pārvaldes iestādes pienākums apsaimniekot un pārvaldīt valsts nekustamos īpašumus izriet jau no Ministru kabineta noteiktā deleģējuma.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nodrošināt, ka projekta ieviešanā tiek piesaistīti darbinieki, kuriem ir pieredze energoefektivitātes paaugstināšanas projektu plānošanā, izstrādē, ieviešanā vai uzraudzībā, lai veiktu šo noteikumu </w:t>
            </w:r>
            <w:r w:rsidR="00000000" w:rsidRPr="00000000" w:rsidDel="00000000">
              <w:rPr>
                <w:rtl w:val="0"/>
              </w:rPr>
              <w:t xml:space="preserve">14.3.</w:t>
            </w:r>
            <w:r w:rsidR="00000000" w:rsidRPr="00000000" w:rsidDel="00000000">
              <w:rPr>
                <w:rtl w:val="0"/>
              </w:rPr>
              <w:t xml:space="preserve"> apakšpunktā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norādot, ka tiešās valsts pārvaldes iestāde, ja tās rīcībā nav darbinieki ar pieredzi attiecīgajā jomā, var slēgt pakalpojuma līgumu attiecīgo darbinieku piesaistei.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nodrošināt, ka ar projekta īstenošanu saistītās tiesības un pienākumi netiks nodoti tālāk citai personai, tai skaitā noslēdzot pakalpojuma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sadarbības partnera loma konkrētā projektā var būt atšķirīga, attiecīgi nav iespējams sadarbības partnerim definēt universālu prasību kopu, kas atbilstu visiem sadarbības partneriem. It īpaši ņemot vērā faktu, ka valsts kapitālsabiedrības, kuras saskaņā ar normatīvajos aktos noteikto deleģējumu vai atbilstoši noslēgtajam sadarbības līgumam pārvalda vai apsaimnieko nekustami īpašumu kā nekustamo īpašumu apsaimniekotājs piedāvā plāšu pakalpojumu klāstu, </w:t>
            </w:r>
            <w:r w:rsidR="00000000" w:rsidRPr="00000000" w:rsidDel="00000000">
              <w:rPr>
                <w:u w:val="single"/>
                <w:rtl w:val="0"/>
              </w:rPr>
              <w:t xml:space="preserve">savukārt padotības iestāde, kuru iespējams piesaistīt kā sadarbības partneri vairumā gadījumu nodrošinās tikai konkrētas sadarbības partnera funkcijas un pienākumus, pārējo pakalpojumu klāstu iepērkot. </w:t>
            </w:r>
            <w:r w:rsidR="00000000" w:rsidRPr="00000000" w:rsidDel="00000000">
              <w:rPr>
                <w:rtl w:val="0"/>
              </w:rPr>
              <w:t xml:space="preserve">Ievērojot minēto, attiecīgi precizēt projekta 14.1.3.apakšpunktu attiecībā uz pakalpojuma līgumu 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projekta ietvaros noslēgto līgumu izpildes kontrole un izmaksas attaisnojošās dokumentācijas pārbaude;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15.9.apakšpunktu, paredzot, ka tas ietver arī sadarbības partnera tiesības slēgt attiecīgo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ne retāk kā reizi sešos mēnešos ievieto savā tīmekļvietnē (ja tāda ir izveidota) aktuālo informāciju par projekta īstenošanas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50.punktu, paredzot, ka šī informācija tiek publicēta finansējuma saņēmēja vai tā sadarbības partnera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13.11.2024.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13.11.2024.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Atzinumi_24-TA-1380.docx</dc:title>
</cp:coreProperties>
</file>

<file path=docProps/custom.xml><?xml version="1.0" encoding="utf-8"?>
<Properties xmlns="http://schemas.openxmlformats.org/officeDocument/2006/custom-properties" xmlns:vt="http://schemas.openxmlformats.org/officeDocument/2006/docPropsVTypes"/>
</file>