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Neizlietotas vai nederīgas dzīvnieku ārstnieciskās barības un starpproduktu savākšanas, izmešanas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tiesību akta projekta plānoto ietekmi uz mazajiem un vidējiem uzņēmējiem, lūdzu veikt MVU testu un atspoguļot novērtējuma rezultātu šajā sadaļā. MVU testa veikšanas pamatprincipi un kārtība detalizēti izklāstīta Vadlīnijās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2.1. un 2.2.4.sadaļā sniegto informāciju par tiesību akta projekta ietekmi uz uzņēmējiem, lūdzu atbilstoši Vadlīnijām tiesību akta sākotnējās ietekmes novērtēšanai un novērtējuma ziņojuma sagatavošanai vienotajā tiesību aktu izstrādes un saskaņošanas portālā veikt atbilstības izmaksu monetāro novērtējumu un iekļaut aprēķinu rezultātu šajā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plānotais skar noteiktu mērķa grupu un tā ir identificēta anotācijas 2.sadaļas 2.1.punktā, lūdzam pirms projekta tālākās virzības nodrošināt attiecīgās mērķgrupas viedokļa noskaidrošanu par plānoto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10.11.2023.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10.11.2023.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Atzinumi_22-TA-3475.docx</dc:title>
</cp:coreProperties>
</file>

<file path=docProps/custom.xml><?xml version="1.0" encoding="utf-8"?>
<Properties xmlns="http://schemas.openxmlformats.org/officeDocument/2006/custom-properties" xmlns:vt="http://schemas.openxmlformats.org/officeDocument/2006/docPropsVTypes"/>
</file>