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606 "Ministru kabineta kārtības rullis"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detalizētāk anotācijā izklāstīt pamatojumu grozījumam MK ruļļa 202.</w:t>
            </w:r>
            <w:r w:rsidR="00000000" w:rsidRPr="00000000" w:rsidDel="00000000">
              <w:rPr>
                <w:vertAlign w:val="superscript"/>
                <w:rtl w:val="0"/>
              </w:rPr>
              <w:t xml:space="preserve">1.</w:t>
            </w:r>
            <w:r w:rsidR="00000000" w:rsidRPr="00000000" w:rsidDel="00000000">
              <w:rPr>
                <w:rtl w:val="0"/>
              </w:rPr>
              <w:t xml:space="preserve"> punktā par Ministru kabineta tematisko komiteju darbības laiku.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Vineta Reitere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02.10.2024. 16.23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02.10.2024. 16.23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