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aicinām aizpildīt anotācijas 5.4. sadaļas 1. tabulu ar atbilstošu informāciju par konkrēto prasību ieviešanu noteikumu projektā. Vēršam uzmanību, ka noteikumu projektā atbilstoši tā redakcijai ieviestas Eiropas Savienības regulu prasības, tostarp noteikumu projektā ir ietvertas atsauces uz regulu normām. Tāpat, analoģiski izziņā norādītajam par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34.</w:t>
            </w:r>
            <w:r w:rsidR="00000000" w:rsidRPr="00000000" w:rsidDel="00000000">
              <w:rPr>
                <w:vertAlign w:val="superscript"/>
                <w:rtl w:val="0"/>
              </w:rPr>
              <w:t xml:space="preserve">2</w:t>
            </w:r>
            <w:r w:rsidR="00000000" w:rsidRPr="00000000" w:rsidDel="00000000">
              <w:rPr>
                <w:rtl w:val="0"/>
              </w:rPr>
              <w:t xml:space="preserve"> punktu kā jaunu tiesību normu un to, ka tā ir atspoguļojama anotācijas 5.4. sadaļas 1. tabulā, lūdzam šo pieeju ievērot arī uz citām jaunām noteikumu projekta normām, kurās tiek ieviestas regulu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aizpildīt anotācijas 5.4. sadaļas 1. tabulu, ievērojot,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43. punktā (noteikumu 39.3.</w:t>
            </w:r>
            <w:r w:rsidR="00000000" w:rsidRPr="00000000" w:rsidDel="00000000">
              <w:rPr>
                <w:vertAlign w:val="superscript"/>
                <w:rtl w:val="0"/>
              </w:rPr>
              <w:t xml:space="preserve">1 </w:t>
            </w:r>
            <w:r w:rsidR="00000000" w:rsidRPr="00000000" w:rsidDel="00000000">
              <w:rPr>
                <w:rtl w:val="0"/>
              </w:rPr>
              <w:t xml:space="preserve">apakšpunkts) ieviests Komisijas 2023. gada 13. decembra Regula ES Nr. 2023/2831 par Līguma par Eiropas Savienības darbību 107. un 108. panta piemērošanu de minimis atbalstam (turpmāk - Regula 2023/2831)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55. punktā (noteikumu 57.</w:t>
            </w:r>
            <w:r w:rsidR="00000000" w:rsidRPr="00000000" w:rsidDel="00000000">
              <w:rPr>
                <w:vertAlign w:val="superscript"/>
                <w:rtl w:val="0"/>
              </w:rPr>
              <w:t xml:space="preserve">2</w:t>
            </w:r>
            <w:r w:rsidR="00000000" w:rsidRPr="00000000" w:rsidDel="00000000">
              <w:rPr>
                <w:rtl w:val="0"/>
              </w:rPr>
              <w:t xml:space="preserve"> punkts) ieviesta gan Regula 2023/2831, gan Komisijas 2013. gada 18. decembra Regulas (ES) Nr. 1408/2013 par Līguma par Eiropas Savienības darbību 107. un 108. panta piemērošanu de minimis atbalstam lauksaimniecības nozarē 1.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20. punktā (noteikumu 34.</w:t>
            </w:r>
            <w:r w:rsidR="00000000" w:rsidRPr="00000000" w:rsidDel="00000000">
              <w:rPr>
                <w:vertAlign w:val="superscript"/>
                <w:rtl w:val="0"/>
              </w:rPr>
              <w:t xml:space="preserve">4</w:t>
            </w:r>
            <w:r w:rsidR="00000000" w:rsidRPr="00000000" w:rsidDel="00000000">
              <w:rPr>
                <w:rtl w:val="0"/>
              </w:rPr>
              <w:t xml:space="preserve"> punkts) ieviests Eiropas Komisijas 2014. gada 17. jūnija Regulas (ES) Nr. 651/2014, ar ko noteiktas atbalsta kategorijas atzīst par saderīgām ar iekšējo tirgu, piemērojot Līguma 107. un 108. pantu 27.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08.07.2024.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08.07.2024.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