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novērsu nepamatotas interpretācijas risku, lūdzam anotācijā nepārprotami norādīt,  ka izšķirošās ietekmes un līdzdalības izbeigšana sabiedrībā ar ierobežotu atbildību “LDZ ritošā sastāva serviss” un sabiedrībā ar ierobežotu atbildību “LDZ Loģistika” nerada publisko resursu piešķīrumu un tādejādi komercdarbības atbalsta kontroles nosacījumi uz šīm darbībām neattiecās. Vienlaikus lūdzam dzēst tekstu: </w:t>
            </w:r>
            <w:r w:rsidR="00000000" w:rsidRPr="00000000" w:rsidDel="00000000">
              <w:rPr>
                <w:i w:val="1"/>
                <w:rtl w:val="0"/>
              </w:rPr>
              <w:t xml:space="preserve">“[..] un arī nav plānots veikt izmaiņas komercdarbībā kopumā.”</w:t>
            </w:r>
            <w:r w:rsidR="00000000" w:rsidRPr="00000000" w:rsidDel="00000000">
              <w:rPr>
                <w:rtl w:val="0"/>
              </w:rPr>
              <w:t xml:space="preserve">, jo tas nekādā veidā nepamato komercdarbības atbalsta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24.04.2025.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24.04.2025.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