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15.2.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terminoloģiju ar Administratīvās atbildības likumu, termina "administratīvā pārkāpuma lietvedība" vietā lietojot terminu "administratīvā pārkāpuma 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papildināt ar 19.4.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jo 19.4. apakšpunktā minēto lēmumu nevar uzskatīt par atsevišku lēmuma veidu. Vēršam uzmanību uz to, ka šis lēmums pēc būtības ir uzskatāms par administratīvo aktu ar nosacījumu - proti, tiek pieņemts lēmums piešķirt pakalpojumu, kas tiek izpildīts, iestājoties konkrētam nosacījumam. Ierosinām neminēt šo lēmumu kā atsevišku lēmuma veidu, bet noteikumu projektā ietvert normu par nosacījuma iekļaušanu lēmumā par pakalpojuma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izteikt 50.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50.5. apakšpunktu, jo formulējums "bērns, kas nav cietis no vardarbības" nav korekts. Ja bērns uzturas cietušo rehabilitācijas pakalpojuma institūcijā kopā ar savu ģimenes locekli, kurš ir cietis no vardarbības, nevar uzskatīt, ka bērnu notikusī vardarbība nav skārusi. Pat ja bērns netika iesaistīts vardarbības aktā tiešā veidā, vardarbībai notiekot bērna tuvinieku starpā, cieš arī bērns. Piemēram, tiesu praksē ir konsekventi norādīts, ka viena bērna vecāka vardarbība pret citu bērna vecāku ir uzskatāma par vardarbību arī attiecībā pret pašu bērnu. Turklāt, uzturoties cietušo rehabilitācijas pakalpojuma institūcijā, bērns tiek atrauts no viņa ierastās vides, kas arī var kaitēt bērna emocionālajam stāvoklim un labbūtībai.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08.06.2023.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08.06.2023.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Atzinumi_23-TA-1322.docx</dc:title>
</cp:coreProperties>
</file>

<file path=docProps/custom.xml><?xml version="1.0" encoding="utf-8"?>
<Properties xmlns="http://schemas.openxmlformats.org/officeDocument/2006/custom-properties" xmlns:vt="http://schemas.openxmlformats.org/officeDocument/2006/docPropsVTypes"/>
</file>