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informatīvā ziņojuma projektā ietverti vairāki pasākumi bāreņiem un bez vecāku gādības palikušiem bērniem pēc pilngadības sasniegšanas īstenošanai, kas paredz papildu izdevumus no pašvaldību budžeta. Līdz ar to lūdzam  atbilstoši aizpildīt informatīvā ziņojuma projekta tabulas ailes  “Finansējuma apmērs, </w:t>
            </w:r>
            <w:r w:rsidR="00000000" w:rsidRPr="00000000" w:rsidDel="00000000">
              <w:rPr>
                <w:i w:val="1"/>
                <w:rtl w:val="0"/>
              </w:rPr>
              <w:t xml:space="preserve">euro</w:t>
            </w:r>
            <w:r w:rsidR="00000000" w:rsidRPr="00000000" w:rsidDel="00000000">
              <w:rPr>
                <w:rtl w:val="0"/>
              </w:rPr>
              <w:t xml:space="preserve">”, norādot indikatīvu izmaksu apmēru.  Papildus vēršam uzmanību, ka par minētajiem pasākumiem būtisks ir Latvijas Pašvaldību savienības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ievaddaļā norādītajam informatīvā ziņojuma projektā ietvertie pasākumi 2025. un 2026.gadā īstenojami esošā finansējuma ietvaros, savukārt 2027.gadā un turpmākajos gados finansējums pieprasāms budžeta prioritāro pasākumu ietvaros vai piesaistāms Eiropas Savienības piešķirtais finansējums Latvijai dažādu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šā gada 19. augustā Ministru kabinetā tika izskatīts informatīvais ziņojums “Par makroekonomisko rādītāju, ieņēmumu un vispārējās valdības budžeta bilances prognozēm 2026., 2027., 2028. un 2029.gadā” (MK sēdes protokola Nr.32 48.§). Atbilstoši aktuālajām makroekonomiskajām un fiskālajām prognozēm, fiskālā telpa likumprojekta "Par valsts budžetu 2026. gadam un budžeta ietvaru 2026., 2027. un 2028. gadam" sagatavošanai ir pozitīva tikai 2026. gadā 39,7 milj. </w:t>
            </w:r>
            <w:r w:rsidR="00000000" w:rsidRPr="00000000" w:rsidDel="00000000">
              <w:rPr>
                <w:i w:val="1"/>
                <w:rtl w:val="0"/>
              </w:rPr>
              <w:t xml:space="preserve">euro</w:t>
            </w:r>
            <w:r w:rsidR="00000000" w:rsidRPr="00000000" w:rsidDel="00000000">
              <w:rPr>
                <w:rtl w:val="0"/>
              </w:rPr>
              <w:t xml:space="preserve">, savukārt negatīva vidējā termiņā -140,1 milj.</w:t>
            </w:r>
            <w:r w:rsidR="00000000" w:rsidRPr="00000000" w:rsidDel="00000000">
              <w:rPr>
                <w:i w:val="1"/>
                <w:rtl w:val="0"/>
              </w:rPr>
              <w:t xml:space="preserve"> euro</w:t>
            </w:r>
            <w:r w:rsidR="00000000" w:rsidRPr="00000000" w:rsidDel="00000000">
              <w:rPr>
                <w:rtl w:val="0"/>
              </w:rPr>
              <w:t xml:space="preserve"> 2027. gadā, -144,4 milj. </w:t>
            </w:r>
            <w:r w:rsidR="00000000" w:rsidRPr="00000000" w:rsidDel="00000000">
              <w:rPr>
                <w:i w:val="1"/>
                <w:rtl w:val="0"/>
              </w:rPr>
              <w:t xml:space="preserve">euro </w:t>
            </w:r>
            <w:r w:rsidR="00000000" w:rsidRPr="00000000" w:rsidDel="00000000">
              <w:rPr>
                <w:rtl w:val="0"/>
              </w:rPr>
              <w:t xml:space="preserve">2028. gadā un -321,6 milj. </w:t>
            </w:r>
            <w:r w:rsidR="00000000" w:rsidRPr="00000000" w:rsidDel="00000000">
              <w:rPr>
                <w:i w:val="1"/>
                <w:rtl w:val="0"/>
              </w:rPr>
              <w:t xml:space="preserve">euro</w:t>
            </w:r>
            <w:r w:rsidR="00000000" w:rsidRPr="00000000" w:rsidDel="00000000">
              <w:rPr>
                <w:rtl w:val="0"/>
              </w:rPr>
              <w:t xml:space="preserve"> 2029.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balstoties uz šī brīža prognozēm, iespējas piešķirt papildu finanšu resursus turpmākajos gados ir ierobežotas, kas ministrijām un citām centrālajām iestādēm jāņem vērā arī plānošanas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2025.gada 27.marta rīkojuma Nr.179 “Par likumprojekta “Par valsts budžetu 2026. gadam un budžeta ietvaru 2026., 2027. un 2028. gadam” sagatavošanas grafiku” 2.1., 2.4.apakšpunktam un pielikuma 9.punktam  nozaru ministrijām tika uzdots veikt nozaru budžetu izdevumu analīzi un sagatavot priekšlikumus sava budžeta resora izdevumu efektivizēšanai (tai skaitā, izdevumu samazināšanai, optimizējot funkcijas, publiskos pakalpojumus un veicot strukturālas reformas), paredzot, ka izdevumu pārskatīšanas rezultātā iegūtie līdzekļi primāri tiek novirzīti aizsardzības izdevumu un demogrāfijas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ministrijām un citām centrālajām iestādēm finansējums plānošanas dokumentu īstenošanai jārod esošā finansējuma ietvaros, pārskatot un optimizējot esošos līdzekļus. Ņemot vērā iepriekš minēto, uzturam Finanšu ministrijas 2025.gada 20.marta atzinumā izteikto iebildumu, ka precizējams informatīvā ziņojuma projekts, norādot, ka informatīvā ziņojuma projektā ietvertie pasākumi īstenojami piešķirtā finansējuma ietvaros, vienlaikus katra pasākuma īstenošanai norādot nepieciešamā finansējuma apmēru un finansējuma avotu (piešķirtā finansējuma ietvaros) sadalījumā pa ministrijām un gadiem. Vienlaikus attiecīgi precizējams MK sēdes protokollēmuma projekta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1.sadaļas “Esošās situācijas raksturojums” 3.tabulā (11.lpp.) tiek norādīta informācija par pašvaldību 2023. un 2024.gadā izmaksātajiem pabalstiem bārenim un bez vecāku gādības palikušam bērnam pēc ārpusģimenes aprūpes beigšanās. Atkārtoti </w:t>
            </w:r>
            <w:r w:rsidR="00000000" w:rsidRPr="00000000" w:rsidDel="00000000">
              <w:rPr>
                <w:u w:val="single"/>
                <w:rtl w:val="0"/>
              </w:rPr>
              <w:t xml:space="preserve">uzturam Finanšu ministrijas 2025.gada 20.marta atzinumā izteikto iebildumu</w:t>
            </w:r>
            <w:r w:rsidR="00000000" w:rsidRPr="00000000" w:rsidDel="00000000">
              <w:rPr>
                <w:rtl w:val="0"/>
              </w:rPr>
              <w:t xml:space="preserve"> un lūdzam pēc šādas līdzības atspoguļot arī informāciju </w:t>
            </w:r>
            <w:r w:rsidR="00000000" w:rsidRPr="00000000" w:rsidDel="00000000">
              <w:rPr>
                <w:u w:val="single"/>
                <w:rtl w:val="0"/>
              </w:rPr>
              <w:t xml:space="preserve">par 2023. un 2024.gadā minētajai mērķgrupai izmaksāto atbalstu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43.lpp sniegto informāciju par īstenoto projektu “Proti un dari!” ar norādi, ka projekts tiek īstenots 4.2.3.4. “Sekmēt NEET jauniešu integrēšanos izglītībā un nodarbinātībā” pasākuma ietvaros, kā arī ietvert zemsvītras atsauci uz minēto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programmas 2021.–2027. gadam 4.2.3.4. pasākuma "Sekmēt NEET jauniešu integrēšanos izglītībā un nodarbinātībā" ietvaros NEET jauniešiem Jaunatnes starptautisko projektu aģentūras īstenotā projekta “Proti un dari!”</w:t>
            </w:r>
            <w:r w:rsidR="00000000" w:rsidRPr="00000000" w:rsidDel="00000000">
              <w:rPr>
                <w:vertAlign w:val="superscript"/>
                <w:rtl w:val="0"/>
              </w:rPr>
              <w:t xml:space="preserve">1</w:t>
            </w:r>
            <w:r w:rsidR="00000000" w:rsidRPr="00000000" w:rsidDel="00000000">
              <w:rPr>
                <w:rtl w:val="0"/>
              </w:rPr>
              <w:t xml:space="preserve"> ietvaros ir pieejams mentora atbalsts,  neformālās un ikdienas mācīšanās, speciālistu (psihologs, karjeras konsultants, surdotulks, asistents u.c., izņemot ārstniecības personālu) konsultācijas,  dalība nometnēs, semināros, sporta aktivitātēs, kultūras pasākumos, brīvprātīgā darba aktivitātes, iesaiste nevalstisko organizāciju un jauniešu centru aktivitātēs, pasākumos un projektos, profesijas specifikas iepazīšana, tai skaitā vizītes uzņēmumos, lai izdarītu izvēli attiecībā uz nākotnes profesiju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https://jaunatne.gov.lv/par-agenturu/programmas-projekti/proti-un-dari-2/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nepieciešamību papildināt informatīvā ziņojuma projektu ar informāciju par veiktajām un plānotajam darbībām, kas izriet no Eiropas Savienības kohēzijas politikas programmas 2021.–2027. gadam 4.1.2.8. "Nevalstisko organizāciju iesaiste veselības veicināšanas un slimību profilakses pasākumu īstenošanā" pasākumu, vai papildināt izziņu ar skaidrojumu, kāpēc netiek papildināts informatīvā ziņojuma projekts ar informāciju par veiktajām un plānotajam darbībām, kas izriet no šī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MK sēdes protokollēmuma projekta nosaukumu, tajā svītrojot vārdus un semikolu “Informatīvais ziņojums” ” un divus semikolus informatīvā ziņojuma projekta nosaukuma beigās.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