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kas nodrošina aizsardzību no masu iznīcināšanas līdzekļiem, toksisko ķīmisko vielu iedarbības,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kas nodrošina aizsardzību no sprādziena triecienviļņa, šķembām, radioaktīvā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 radiācijas piesārņojuma.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šādu objektu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otrās grupas daudzdzīvokļu dzīvojamās mājas virs trīs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grupas publiskās ēkas ar kopējo platību no 1000 kvadrātmetriem, izņemot inženierbūves, sezonas, īslaicīgas lietošanas ēkas, lauksaimniecības ēkas, katlumājas, elektroenerģijas apgādes ēkas, transformatoru apakšstaciju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rūpnieciskās ražošanas vai noliktavas ēkas ar kopējo platību no 1500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nodrošina patvertnes uzturēšanu, lai katastrofas, tās draudu, militāra iebrukuma vai kara gadījumā patvertni varētu izmantot cilvēki.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plāno patvertņu izvietojumu, lai tiktu nodrošināts to pietiekams skaits atbilstoši iedzīvotāju blīvumam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ir tiesīgas piedalīties patvertņu, tai skaitā privātās ēkās un telpās, izbūvē vai ierīkošanā un nodrošināšanā ar nepieciešamo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Būvvalde, konsultējoties ar pašvaldību, var lemt par atbrīvojumu no šajā likumā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ievērojami augstākas būvniecības izmaksas nekā parasti ar attiecīgās ēkas būvniecību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attiecīgajā teritorijā jau ir pietiekams patvertņu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Būvvalde var lemt par atļauju būvēt kopīgu patvertni divām vai vairākām ēkām, ja patvertnes izvietojums nodrošina tās ātru sasniedzamību attiecīgajās ēkās esošajiem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2. pantā paredzēto Civilās aizsardzības un katastrofas pārvaldīšanas likuma (turpmāk – Likums) 7.</w:t>
            </w:r>
            <w:r w:rsidR="00000000" w:rsidRPr="00000000" w:rsidDel="00000000">
              <w:rPr>
                <w:vertAlign w:val="superscript"/>
                <w:rtl w:val="0"/>
              </w:rPr>
              <w:t xml:space="preserve">1</w:t>
            </w:r>
            <w:r w:rsidR="00000000" w:rsidRPr="00000000" w:rsidDel="00000000">
              <w:rPr>
                <w:rtl w:val="0"/>
              </w:rPr>
              <w:t xml:space="preserve"> panta otro daļu visās jaunbūvējamās otrās grupas daudzdzīvokļu dzīvojamās mājās virs trīs stāviem, trešās grupas publiskās ēkās ar kopējo platību no 1000 kvadrātmetriem, izņemot inženierbūves, sezonas, īslaicīgas lietošanas ēkas, lauksaimniecības ēkas, katlumājas, elektroenerģijas apgādes ēkas, transformatoru apakšstaciju ēkas un  rūpnieciskās ražošanas vai noliktavas ēkās ar kopējo platību no 1500 kvadrātmetriem ir ierīkojamas patversmes.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2.pantā paredzētajā Likuma 7.</w:t>
            </w:r>
            <w:r w:rsidR="00000000" w:rsidRPr="00000000" w:rsidDel="00000000">
              <w:rPr>
                <w:vertAlign w:val="superscript"/>
                <w:rtl w:val="0"/>
              </w:rPr>
              <w:t xml:space="preserve">1</w:t>
            </w:r>
            <w:r w:rsidR="00000000" w:rsidRPr="00000000" w:rsidDel="00000000">
              <w:rPr>
                <w:rtl w:val="0"/>
              </w:rPr>
              <w:t xml:space="preserve"> panta sestajā un astotajā daļā noteikts, ka pašvaldības plāno patvertņu izvietojumu, lai tiktu nodrošināts to pietiekams skaits atbilstoši iedzīvotāju blīvumam attiecīgajā teritorijā un būvvalde, konsultējoties ar pašvaldību, var lemt par atbrīvojumu no pienākuma izbūvēt patvertni, ja attiecīgajā teritorijā jau ir pietiekams patvertņu skaits. No minētās normas secināms, ka patversmes tomēr nav nepieciešams ierīkot katrā iepriekš minētajā jaunbūvējamā ēkā.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normu skaidrību, rosinām noteikt, ka, būvvalde saskaņā ar pašvaldības izstrādāto patversmju izvietojuma plānu lemj par patversmes ierīkošanas nepieciešamību jaunbuvējamā ēkā, nevis par atbrīvojumu no pienākuma izbūvēt patvertni.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patversmju izbūve, ņemto vērā tām noteiktā aizsardzības funkcijas vienmēr radīs augstākas ēkas būvniecības izmaksas. Līdz ar to,  aicinām noteikt citu kritēriju, pamatojoties uz kuru būvvalde var lemt par atbrīvojumu no pienākuma izbūvēt patversmi,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Likumprojekts būt papildināms ar normu, paredzot kritērijus, saskaņā ar kuriem pašvaldība nosaka nepieciešamo patversmju skaitu savā teritorijā.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08.07.2024. 12.48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08.07.2024. 12.48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Atzinumi_24-TA-287.docx</dc:title>
</cp:coreProperties>
</file>

<file path=docProps/custom.xml><?xml version="1.0" encoding="utf-8"?>
<Properties xmlns="http://schemas.openxmlformats.org/officeDocument/2006/custom-properties" xmlns:vt="http://schemas.openxmlformats.org/officeDocument/2006/docPropsVTypes"/>
</file>