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īstenošanai pieejamais finansējums 2026. gadā ir 400 000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atkārtoti virzīto noteikumu projektu “Jaunuzņēmumu komercdarbības vides pilnveidošanas atbalstāmo pasākumu īstenošanas kārtība” un lūdz sniegt skaidrojumu, vai saskaņā ar likumu “Par valsts budžetu 2025. gadam un budžeta ietvaru 2025., 2026. un 2027. gadam” Ministrijas budžeta programmas 35.00.00 “Valsts atbalsta programmas” prioritārajam pasākumam “Jaunuzņēmumu atbalsts” 2027. un 2028. gadā finansējums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saprotams, ka noteikumi katru gadu tiks grozīti, ņemot vērā, ka šobrīd finansējums paredzēts tikai 2026. gadam? Ja tā, lūdzam šo informāciju skaidri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Organizācijai jāatbilst šādiem kvalifikācijas kritērijiem, kas noteikti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jāsaņem vismaz 7 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finansējuma pieteikumā organizācijas norādīs arī nepieciešamo finansējumu vai Ministrija pati izvērtēs kādu finansējuma daļu piešķirt īstenošanai? Kā rīkosies, ja pieteiksies par kopumā lielāku finansējumu nekā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Organizācijas kvalifikācijas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un izziņā, kā tiks vērtēti pielikumā noteiktie kritēriji, kā arī kādā kārtībā tiks izvērtēta atbilstība 3., 4. un 5. pielikuma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05.01.2026.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05.01.2026.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