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2.2.1. specifiskā atbalsta mērķa "Veicināt ilgtspējīgu ūdenssaimniecību" 2.2.1.1. pasākuma "Notekūdeņu un to dūņu apsaimniekošanas sistēmas attīstība piesārņojuma samazināšanai"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dzīves cikls ir 30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19.punktā un 21.3. apakšpunktā noteikto  projekta dzīves cikla termiņu un infrastruktūras īpašumtiesību saglabāšanas termiņu, t.i., 30 gadi, atkārtoti lūdzam anotācijas ietvaros skaidrot par minētā regulējuma uzraudzību, un no kādiem līdzekļiem tā tiks segta, ņemot vērā Eiropas Savienības fondu tehniskās palīdzības un valsts budžeta ierobežoto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28.05.2025.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28.05.2025.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Atzinumi_25-TA-496.docx</dc:title>
</cp:coreProperties>
</file>

<file path=docProps/custom.xml><?xml version="1.0" encoding="utf-8"?>
<Properties xmlns="http://schemas.openxmlformats.org/officeDocument/2006/custom-properties" xmlns:vt="http://schemas.openxmlformats.org/officeDocument/2006/docPropsVTypes"/>
</file>