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invazīvo sugu saraksts un pārvaldības pasākumi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Latvijas invazīvo sugu pārvaldības pasākumus – izplatības ierobežošanu, iznīcināšanas metodes un cietušo ekosistēmu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(turpmāk - noteikumi Nr. 108) 100.2. apakšpunktam, kas noteic, ka projekta pirmajā punktā raksta (pārraksta) likumā noteikto pilnvarojumu Ministru kabinetam, lūdzam precizēt projekta 1. punktu un, ja nepieciešams citas vienības, nodrošinot atbilstību likumā ietvertajam pilnvarojumam. Proti, atbilstoši Sugu un biotopu aizsardzības likuma 4. panta 21. punkta "e" apakšpunktam Ministru kabinets nosaka "</w:t>
            </w:r>
            <w:r w:rsidR="00000000" w:rsidRPr="00000000" w:rsidDel="00000000">
              <w:rPr>
                <w:i w:val="1"/>
                <w:rtl w:val="0"/>
              </w:rPr>
              <w:t xml:space="preserve">invazīvo sugu introdukcijas un izplatīšanās profilakses un pārvaldības noteikumus</w:t>
            </w:r>
            <w:r w:rsidR="00000000" w:rsidRPr="00000000" w:rsidDel="00000000">
              <w:rPr>
                <w:rtl w:val="0"/>
              </w:rPr>
              <w:t xml:space="preserve">", nevis vienkārši "</w:t>
            </w:r>
            <w:r w:rsidR="00000000" w:rsidRPr="00000000" w:rsidDel="00000000">
              <w:rPr>
                <w:i w:val="1"/>
                <w:rtl w:val="0"/>
              </w:rPr>
              <w:t xml:space="preserve">invazīvo sugu pārvaldības pasākumus</w:t>
            </w:r>
            <w:r w:rsidR="00000000" w:rsidRPr="00000000" w:rsidDel="00000000">
              <w:rPr>
                <w:rtl w:val="0"/>
              </w:rPr>
              <w:t xml:space="preserve">", tāpat no pilnvarojuma izriet arī "</w:t>
            </w:r>
            <w:r w:rsidR="00000000" w:rsidRPr="00000000" w:rsidDel="00000000">
              <w:rPr>
                <w:i w:val="1"/>
                <w:rtl w:val="0"/>
              </w:rPr>
              <w:t xml:space="preserve">kompetentās iestādes un to funkcijas</w:t>
            </w:r>
            <w:r w:rsidR="00000000" w:rsidRPr="00000000" w:rsidDel="00000000">
              <w:rPr>
                <w:rtl w:val="0"/>
              </w:rPr>
              <w:t xml:space="preserve">" noteikšana, kā arī pilnvarojums paredz noteikt sugu izplatības izplatīšanas ierobežošanas un iznīcināšanas pasākumus un metodes, nevis tikai metodes. Ja pilnvarojumu nav paredzēts izpildīt pilnībā, lūdzam attiecīgu pamatotu skaidrojumu sniegt projekta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atbilstoši noteikumu Nr. 108  90. punktam lūdzam izvērtēt arī projekta nosaukumu un tā atbilstību Ministru kabineta pilnvarojumam, no kura izriet ne tikai Latvijas invazīvo sugu saraksta un pārvaldības pasākumu noteikšana, tostarp lūdzam aizstāt nosaukumā vārdu "pasākumi" ar vārdu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nodrošināt, lai visi pārvaldības pasākumi, metodes un ar to īstenošanu saistītie procesi ir pilnīgi, nepārprotami un viennozīmīgi saprotami tiesību normu adresātiem. Proti, lūdzam pārskatīt gan anotācijā sniegtos skaidrojumus, gan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noteikts, ka "</w:t>
            </w:r>
            <w:r w:rsidR="00000000" w:rsidRPr="00000000" w:rsidDel="00000000">
              <w:rPr>
                <w:i w:val="1"/>
                <w:rtl w:val="0"/>
              </w:rPr>
              <w:t xml:space="preserve">zemes īpašniekiem, lietotājiem un tiesiskajiem valdītājiem ir noteikts pienākums apzināti neveicināt Latvijas invazīvo sugu izplatību, tai skaitā nepārvietot invadētu augsni, augu stādus vai dzīvus invazīvās sugas īpatņus ārpus sava īpašuma robežām</w:t>
            </w:r>
            <w:r w:rsidR="00000000" w:rsidRPr="00000000" w:rsidDel="00000000">
              <w:rPr>
                <w:rtl w:val="0"/>
              </w:rPr>
              <w:t xml:space="preserve">.", bet netiek skaidrots, kā jārīkojas ar invadētu augsni, turklāt nav gūstama pārliecība par to, kā tiks izvērtēts tas, vai izplatība veicināta </w:t>
            </w:r>
            <w:r w:rsidR="00000000" w:rsidRPr="00000000" w:rsidDel="00000000">
              <w:rPr>
                <w:u w:val="single"/>
                <w:rtl w:val="0"/>
              </w:rPr>
              <w:t xml:space="preserve">apzināti</w:t>
            </w:r>
            <w:r w:rsidR="00000000" w:rsidRPr="00000000" w:rsidDel="00000000">
              <w:rPr>
                <w:rtl w:val="0"/>
              </w:rPr>
              <w:t xml:space="preserve">, tādēļ nepieciešams izvērtēt šī nosacījuma lietderīgumu un nepieciešamības gadījumā to svītrot vai precizēt. Kā arī vēršam uzmanību, ka Sugu un biotopu aizsardzības likuma 9. pants jau izsmeļoši noteic zemes īpašnieku vai lietotāju pienākumus, paredzot tostarp veikt invazīvās sugas pārvaldības pasākumus, lai novērstu tās tālāku izplatību, tādēļ, ja ar projekta 2. punktu nav paredzēts pārvaldības pasākums, lūdzam svītrot šo punktu kā minētā likuma panta dublējošu.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pārvaldības pasākumam "</w:t>
            </w:r>
            <w:r w:rsidR="00000000" w:rsidRPr="00000000" w:rsidDel="00000000">
              <w:rPr>
                <w:i w:val="1"/>
                <w:rtl w:val="0"/>
              </w:rPr>
              <w:t xml:space="preserve">Nolasīšana ar rokām un iznīcināšana</w:t>
            </w:r>
            <w:r w:rsidR="00000000" w:rsidRPr="00000000" w:rsidDel="00000000">
              <w:rPr>
                <w:rtl w:val="0"/>
              </w:rPr>
              <w:t xml:space="preserve">" pielikuma apraksta daļā netiek skaidrots, kas darāms, kad īstenota kailgliemežu "</w:t>
            </w:r>
            <w:r w:rsidR="00000000" w:rsidRPr="00000000" w:rsidDel="00000000">
              <w:rPr>
                <w:i w:val="1"/>
                <w:rtl w:val="0"/>
              </w:rPr>
              <w:t xml:space="preserve">Savākšana, ievietošana slēgtā traukā, apliešana ar verdošu ūdeni, saldēšana.</w:t>
            </w:r>
            <w:r w:rsidR="00000000" w:rsidRPr="00000000" w:rsidDel="00000000">
              <w:rPr>
                <w:rtl w:val="0"/>
              </w:rPr>
              <w:t xml:space="preserve">", no pasākuma "</w:t>
            </w:r>
            <w:r w:rsidR="00000000" w:rsidRPr="00000000" w:rsidDel="00000000">
              <w:rPr>
                <w:i w:val="1"/>
                <w:rtl w:val="0"/>
              </w:rPr>
              <w:t xml:space="preserve">Paslēptuvju izmantošana pievilināšanai un iznīcināšana</w:t>
            </w:r>
            <w:r w:rsidR="00000000" w:rsidRPr="00000000" w:rsidDel="00000000">
              <w:rPr>
                <w:rtl w:val="0"/>
              </w:rPr>
              <w:t xml:space="preserve">" apraksta izriet tikai "</w:t>
            </w:r>
            <w:r w:rsidR="00000000" w:rsidRPr="00000000" w:rsidDel="00000000">
              <w:rPr>
                <w:i w:val="1"/>
                <w:rtl w:val="0"/>
              </w:rPr>
              <w:t xml:space="preserve">Mitrās un ēnainās vietās esošo dēļu, kastu vai citu priekšmetu regulāras pārbaudes</w:t>
            </w:r>
            <w:r w:rsidR="00000000" w:rsidRPr="00000000" w:rsidDel="00000000">
              <w:rPr>
                <w:rtl w:val="0"/>
              </w:rPr>
              <w:t xml:space="preserve">.", bet ne informācija par iznīcināšanu.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pamatojoties uz Ministru kabineta 2021. gada 7. septembra noteikumu Nr. 617 "Tiesību akta projekta sākotnējās ietekmes izvērtēšanas kārtība" 9.19. apakšpunktu, lūdzam papildināt anotācijas 5. sadaļu, nodrošinot pilnīgu informāciju par projekta atbilstību attiecīgajai regulai un to izpildes atspoguļojumu (anotācijas 5. sadaļas aizpildīšanā iesakām ievērot "Vadlīnijas tiesību akta projekta sākotnējās ietekmes novērtēšanai un novērtējuma ziņojuma sagatavošanai Vienotajā tiesību aktu izstrādes un saskaņošanas portālā"). Vēršam uzmanību, ka no anotācijas 5.3. apakšsadaļā sniegtās informācijas par projekta atbilstību Eiropas Parlamenta un Padomes 2014. gada 22. oktobra Regulas (ES) Nr. 1143/2014 par invazīvu svešzemju sugu introdukcijas un izplatīšanās profilaksi un pārvaldību 12. pantam izriet, ka Latvija ir izmantojusi regulā paredzēto rīcības brīvību. Attiecīgi, lūdzam aizpildīt anotācijas 5.1. un 5.4. apakšsadaļas 1. tabulu, tostarp lūdzam izvērstāk skaidrot, kā konkrēti rīcības brīvība ir izmantota, tostarp, kādi regulas 12. pantā minētie pasākumi tiks piemēroti un vai tie atbilst Līgumam par Eiropas Savienības darbību, kā arī skaidrot apsvērumus minētās rīcības brīvības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Katalogā uzskaitītie pārvaldības pasākumi  attiecas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anotācijā sniegtos skaidrojumus par projekta attiecināšanu uz atsevišķām teritorijām ar konkrētāku pamatojumu izvēlētajām teritorijām, tostarp vai ar pasākumiem tiek aptvertas visas teritorijas atbilstoši teritorijas plānojumiem.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Katalogā uzskaitītie pārvaldības pasākumi  attiecas uz pilsētās,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pieturzīmi iekavas, jo tās ir liekas.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15.01.2026. 12.35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15.01.2026. 12.35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Atzinumi_25-TA-1023.docx</dc:title>
</cp:coreProperties>
</file>

<file path=docProps/custom.xml><?xml version="1.0" encoding="utf-8"?>
<Properties xmlns="http://schemas.openxmlformats.org/officeDocument/2006/custom-properties" xmlns:vt="http://schemas.openxmlformats.org/officeDocument/2006/docPropsVTypes"/>
</file>