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(LTRK_viedoklis)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attiecībā uz Anotācijas 1.3. sadaļas apakšsadaļā "Risinājuma apraksts" norādīto aprakstu par juridiskās slodzes samazināšanos (Izziņas 44. punkts). Tieslietu ministrijas ieskatā informācija par to, ka Konkurences likuma normas mazina Likuma 88. panta trešās un ceturtās daļas normu juridisko slodzi, nav pamatota, tādēļ nebūtu iekļaujama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Vizla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paredzētais regulējums ir saistīts ar grozījumu izstrādi  Publiskas personas kapitāla daļu un kapitālsabiedrību pārvaldības likumā, lūdzam aizpildīt anotācijas 4.sadaļu.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saiti uz publiskās apspriešanās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Vizla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04.09.2023. 20.36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04.09.2023. 20.36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