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noteikumu projektu ar prasību CFLA nodrošināt vienotus metodiskos norādījumus un veidlapas saistībā ar noteikumu projekta punktiem Nr. 20.6; 40.3.; 40.7. Skaidrojam, ka tādējādi tiks nodrošināt vienota un metodiska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apmācību kursu raksturojumu, norādot, ka apmācībās tiek nodrošināti kvalifikācijas celšanas pasākumi nodarbinātām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2.2.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vārdu savienojumu "brīva piekļuve", jo kursi būs pieejami tikai reģistrētiem dalībniekiem, vai tiem, kas ir veikuši par tiem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vārdu savienojumu "praktiski neierobežots dalībnieku skaits", jo mācību platformas un pieļaujamais grupu izmērs noteikto mācību mērķu sasniegšanai var atšķirties, tāpēc LDDK ieskatā nav pamats šādu nosacījumu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definīciju, norādot, ka var tikt apgūta arī formālā izglītība, jo nevajadzētu ierobežot darba devēju iespējas piedāvāt saviem darbiniekiem apgūt formālo izglītību, kā rezultātā darbinieks, piemēram, var iegūt profesionālo kvalifikāciju. Aicinām neierobežot izglītības programmas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apmācāmo dalībnieku skaits tiek uzskaitīts kā ne – unikālās vienības jeb kā apmācību kursu apmeklētāju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katram finansējuma saņēmējam (Biedrībai) sasniedzamo rādītāju – komersantu skaits, minimālo vērtību – 35 komersanti (kas izriet no kopējā programmas rādītāja 464, sadalot to uz 13 – 14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MKN projektā informāciju par projekta atbalsta summu vienam projektam, nosakot, ka tā nepārsniedz 1 000 000 EUR, lai nodrošinātu, ka iespējams iesniegt un apstiprināt vismaz vienu projekta pieteikumu katrā MK noteikumu projekta pielikumā norādītajā nozarē vai apakšnozarē. Skaidrojam, ka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kādas tieši izdevumu pozīcijas ietver 26.2.5. punktā ietvertās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apliecinājumu vai sertifikātu izsniegšanu apmācību kursu dalībniekiem, norādot ka apmācību sniedzējs šādu dokumentu izsniedz pēc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maksājumu pieprasījumu iesniegšanas biežumu, norādot, ka maksājumu pieprasījumu Finansējuma saņēmējs var iesniegt ne biežāk kā reizi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40.14.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informēt gala labuma guvēju par pieņemtajiem valsts atbalsta lēmumiem, nosūtot gala labuma guvējam elektroniski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dokumentēt un uzglabāt pieteikumu apstiprināšanas un noraidīšanas iemeslu, kā arī reģistrēt iekšējā sistēmā visus saņemtos projekta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projekta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uzglabāt projekta lietvedībā gala labuma guvēja iesniegtos pieteikumus, pieņemtos valsts atbalsta lēmumus un gala labuma guvējam nosūtīto informāciju, atbilstoši 40.14.punktam.”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to, ka vienā nozarē var apstiprināt līdz diviem projekta pieteikumiem, ja to pieļauj projektu atlasē pieejamais finansējums. SKaidrojam, ka ir 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Projekta 2. pielikuma 6. atsauces redakciju “Valodu apmācību izmaksas nedrīkst pārsniegt 15% no kopējām katra finansējuma saņēmēja projekta ietvaros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partnerībā īstenotiem projektiem – dzēšot to. Skaidrojam, ka programma paredz atbalstīt vienu iesniegtu finansējuma saņēmēja projekta pieteikumu par noteiktu summu, kas ir vienāda visiem finansējuma saņēmējiem. Var paredzēt papildus punktus projektu vērtēšanas kritērijos par partnerībā īstenotu projektu, kurā sadarbojas vairākas nozares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to, ka vienā nozarē var apstiprināt līdz diviem projekta pieteikumiem, ja to pieļauj projektu atlasē pieejamais finansējums. Skaidrojam, ka ir nozares vai apakšnozares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projekta atbalsta summu vienam projektam, nosakot, ka tā nepārsniedz 1 000 000 EUR, lai nodrošinātu, ka iespējams iesniegt un apstiprināt vismaz vienu projekta pieteikumu katrā MK noteikumu projekta pielikumā norādītajā nozarē vai apakšnozarē. Skaidrojam, ka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apmācāmo dalībnieku skaits tiek uzskaitīts kā ne – unikālās vienības jeb kā apmācību kursu apmeklētāju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katram finansējuma saņēmējam (Biedrībai) sasniedzamo rādītāju – komersantu skaits, minimālo vērtību – 35 komersanti (kas izriet no kopējā programmas rādītāja 464, sadalot to uz 13 – 14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elektroniski parakstīt šo noteikumu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esošo objektivitātes, konfidencialitātes un interešu konflikta neesības apliecinājumu, visiem, kas iesaistās lēmuma pieņemšanas procesā par komercdarbības atbalsta piešķiršanu gala labuma guvējam.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132.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pieļaut arī fiziskas dokumentu parakstīšanas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