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minētajās teritorijās bez pašvaldības atļaujas koku ciršanai ārpus meža atļauts cirst: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sagatavotajā informatīvā ziņojuma "Par siltumnīcefekta gāzu emisiju samazināšanas un oglekļa dioksīda piesaistes saistību izpildi" (25-TA-485) 6. nodaļā "Secinājumi" tostarp ir ietverti šādi 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2024. gadā atjaunoto 2023. gada integrēto ziņojumu par politikām, pasākumiem un SEG prognozēm tiek prognozēts, ka 2050. gadā ne visas nesamazināmās emisijas tiks kompensētas ar  CO2 piesaistēm (netiks sasniegta klimatneitralitāte). Tomēr virzībā uz klimatneitralitāti noteiktie starpposma mērķi 2030. gadam pēc NEKP mērķu scenārija tiks sasniegti.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Riski SEG emisiju samazināšanai noteikto indikatīvo mērķa vērtību sasniegšanā netiek prognozēti tikai pie nosacījuma, ka nozaru ministrijas ar citām iesaistītajām pusēm ievieš gan papildus pasākumu (WAM), gan NEKP mērķa scenārijā noteiktos nozaru pasākumus un politikas.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ZIZIMM sektora un jo īpaši mežu nozīmīgo lomu CO2 piesaistē un virzībā uz klimatneitralitātes mērķu sasniegšanu, Satiksmes ministrijas ieskatā nav atbalstamas izmaiņas tiesību aktos, kas paredz pastiprinātu mežu izciršanu.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Valentīna Āmare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21.11.2025.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21.11.2025.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