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dāvināšanu (ziedošanu)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11. panta pirmā daļa (atbilstoši grozījumiem, kas pieņemti Saeimā 2023. gada 5. oktobrī, stājas spēkā 2024. gada 1. janvārī) paredz papildus ierobežojumu valsts kapitālsabiedrībām, nosakot, ka dāvināšanai (ziedošanai) drīkst atvēlēt ne vairāk par 1,5 procentiem no iepriekšējā pārskata gada peļņas. Ievērojot minēto, Publiskas personas finanšu līdzekļu un mantas izšķērdēšanas novēršanas likuma 11. pantā noteiktais kritērijs ir papildus nosacījums dāvinājuma (ziedojuma) vai kalendārajā gadā veikto dāvinājumu (ziedojumu) kopsummas maksimālās atļautās summas noteikšanai. Atbilstoši projekta 1. punktā noteiktajam, ja atsevišķa dāvinājuma (ziedojuma) summa pārsniedz 100 000 euro vai kalendārajā gadā veikto dāvinājumu (ziedojumu) kopsumma pārsniedz 100 000 euro, pirms dāvinājuma (ziedojuma) veikšanas nepieciešams saņemt Ministru kabineta atļauju. Ņemot vērā minēto un ievērojot, ka Publiskas personas finanšu līdzekļu un mantas izšķērdēšanas novēršanas likuma 11. panta pirmā daļa (atbilstoši grozījumiem, kas pieņemti Saeimā 2023. gada 5. oktobrī, stājas spēkā 2024. gada 1. janvārī) paredz dāvinājuma (ziedojuma) maksimālo summu (ne vairāk par 1,5 procentiem no kapitālsabiedrības iepriekšējā pārskata gada peļņas), attiecīgi papildināt projekta sākotnējās ietekmes (ex-ante) novērtējuma ziņojumu (anotāciju) ar papildu kritēriju par dāvinājuma (ziedojuma) veikšanas nosacījumu (maksimālo summu) valsts kapitālsabiedrībai vai kapitālsabiedrībai, kurā valsts daļa pamatkapitālā pārsniedz 50 procentus, un kapitālsabiedrībai, kurā vienas vai vairāku valsts kapitālsabiedrību daļa pamatkapitālā atsevišķi vai kopumā pārsniedz 50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Strautiņa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15.12.2023.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15.12.2023.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