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22-TA-433: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Centrālās finanšu un līgumu aģentūras sniegto atbalstu attīstības sadarbības projektos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Platforma attīstības sadarbībai"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konsultatīvu atbalstu projekta piedāvājuma izstrādē un iesniegšanā dalībai konkursā;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papildināt ar jaunu noteikumu projekta punktu, kā tiks izvērtēts, kurām organizācijām aģentūra sniegs atbalstu projektu pieteikumu izstrādē. Tas ir resursu ietilpīgs pasākums, kas tiks veikts par publiskajiem līdzekļiem, tāpēc uzsveram, ka šādi lēmumi nevar tikt veikti subjektīvā procesā starp Ārlietu ministriju un aģentūru.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Vaivare (LAPAS)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Aģentūra saskaņo ar Ārlietu ministriju attīstības sadarbības aktivitātes un sniedz atbalstu organizācijām, balstoties uz Latvijas attīstības sadarbības politikas plānošanas dokumentiem, kas nosaka gan divpusēji, gan daudzpusēji īstenotās Latvijas attīstības sadarbības politikas mērķus, prioritātes un pamatprincipus.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LAPAS pauž bažas par caurspīdīguma trūkumu lēmumu pieņemšanā, kuras organizācijas tiks iesaistītas aģentūras atbalstītajos un ieviestajos projektos. Anotācija min piemēru, ka Ārlietu ministrija vienpersonīgi pieņems lēmumu, kuras organizācijas ir atbalstāmas, ja interesi paudīs vairākas organizācijas. Šāda pieeja ir pretrunā ar atklātības un vienādu iespēju principiem visām organizācijām. Lūdzam papildināt noteikumu projektu ar caurspīdīgu un atbildīgu lēmumu pieņemšanas procesu.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Vaivare (LAPAS)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Aģentūra vismaz reizi gadā sagatavo pārskatu par plānotajām un veiktajām attīstības sadarbības aktivitātēm, par ko informē Konsultatīvo padomi attīstības sadarbības politikas jautājumos.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Aģentūra pārskatā iekļauj arī informāciju par plānotajiem projektiem, resursu ieguldījumu organizāciju atbalstam, lai būtu iespējams pārliecināties par taisnīgu atbalstu un caurspīdīgu lēmumu pieņemšanas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Vaivare (LAPAS)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Aģentūra 10 darbdienu laikā izvērtē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pieprasījumu un elektroniski informē pieprasījuma iesniedzēju par turpmākās sadarbības iespējām, iespējamo atbalsta apjomu, aģentūras iesaistes iespējām projekta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vienādu pieeju informācijai par projektu iespējām visām organizācijām, kas paudušas interesi to saņemt. Pašreizējā redakcija ietver subjektīvu vērtējumu un ierobežotu informācijas saņēmēju loku par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Vaivare (LAPAS)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divas vai vairākas organizācijas atbilstoši šo noteikumu </w:t>
            </w:r>
            <w:r w:rsidR="00000000" w:rsidRPr="00000000" w:rsidDel="00000000">
              <w:rPr>
                <w:rtl w:val="0"/>
              </w:rPr>
              <w:t xml:space="preserve">12. </w:t>
            </w:r>
            <w:r w:rsidR="00000000" w:rsidRPr="00000000" w:rsidDel="00000000">
              <w:rPr>
                <w:rtl w:val="0"/>
              </w:rPr>
              <w:t xml:space="preserve">punktam</w:t>
            </w:r>
            <w:r w:rsidR="00000000" w:rsidRPr="00000000" w:rsidDel="00000000">
              <w:rPr>
                <w:rtl w:val="0"/>
              </w:rPr>
              <w:t xml:space="preserve"> informē aģentūru par to, ka plāno sagatavot un iesniegt projekta piedāvājumu vienam un tam pašam konkursam, tad aģentūra, pārrunās iesaistot Ārlietu ministriju un visus projekta piedāvājuma sagatavotājus, nodrošina, ka ar aģentūras atbalstu tiek sagatavots un virzīts iesniegšanai viens projekta piedāvājums.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anotācijā vai precizēt noteikumu projekta 14.punktu, kāpēc obligāti ir iesniedzams viens projekta pieteikums. Uzskatām, ka tas ierobežo konkurenci un paaugstina Ārlietu ministrijas un aģentūras subjektīvo iejaukšanos organizāciju darbībā. Vienlaikus pozitīvi vērtējam šāda sadarbības procesa iniciēšanu, tomēr neuzskatām, ka tas būtu obligāti ieviešams, jo organizācijām var pastāvēt dažādi apstākļi un prioritātes.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Vaivare (LAPAS)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22-TA-433</w:t>
    </w:r>
    <w:r>
      <w:br/>
    </w:r>
    <w:r w:rsidR="00000000" w:rsidRPr="00000000" w:rsidDel="00000000">
      <w:rPr>
        <w:rtl w:val="0"/>
      </w:rPr>
      <w:t xml:space="preserve">Izdrukāts 06.06.2023. 13.33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22-TA-433</w:t>
    </w:r>
    <w:r>
      <w:br/>
    </w:r>
    <w:r w:rsidR="00000000" w:rsidRPr="00000000" w:rsidDel="00000000">
      <w:rPr>
        <w:rtl w:val="0"/>
      </w:rPr>
      <w:t xml:space="preserve">Izdrukāts 06.06.2023. 13.33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Atzinumi_22-TA-433.docx</dc:title>
</cp:coreProperties>
</file>

<file path=docProps/custom.xml><?xml version="1.0" encoding="utf-8"?>
<Properties xmlns="http://schemas.openxmlformats.org/officeDocument/2006/custom-properties" xmlns:vt="http://schemas.openxmlformats.org/officeDocument/2006/docPropsVTypes"/>
</file>