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kas attiecas uz Noteikumu 12.</w:t>
            </w:r>
            <w:r w:rsidR="00000000" w:rsidRPr="00000000" w:rsidDel="00000000">
              <w:rPr>
                <w:vertAlign w:val="superscript"/>
                <w:rtl w:val="0"/>
              </w:rPr>
              <w:t xml:space="preserve">1</w:t>
            </w:r>
            <w:r w:rsidR="00000000" w:rsidRPr="00000000" w:rsidDel="00000000">
              <w:rPr>
                <w:rtl w:val="0"/>
              </w:rPr>
              <w:t xml:space="preserve"> punktu būtu svītrojams vārds "vismaz", kas dod vietu pieņēmumam, ka var būt citi  kritēriji. Ja ir iecere, ka varētu pastāvēt vēl papildu kritēriji, tad tos ir jāmin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Ilāna Garbere-Bule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30.09.2025.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30.09.2025.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