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Traktortehnikas un tās velkamo transportlīdzekļu atbilstības novērtēšanas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"Sertifikācijas un testēšanas centrs" ir privāto tiesību subjekts, līdz ar to, lūdzu pārcelt iekļauto informāciju uz anotācijas 2. sadaļu, tajā skaitā veikto administratīvo izmaksu aprēķinu.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veikto administratīvā sloga aprēķinu, ņemot vērā, ka gadījumos, kad inspicēšanas institūcija sniedz valsts deleģētu maksas pakalpojumu un ar normatīvo aktu noteiktās darbības tiek segtas ar pakalpojuma saņēmēja samaksu, šīs darbības netiek uzskatītas par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13.01.2026. 10.05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13.01.2026. 10.05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Atzinumi_23-TA-2771.docx</dc:title>
</cp:coreProperties>
</file>

<file path=docProps/custom.xml><?xml version="1.0" encoding="utf-8"?>
<Properties xmlns="http://schemas.openxmlformats.org/officeDocument/2006/custom-properties" xmlns:vt="http://schemas.openxmlformats.org/officeDocument/2006/docPropsVTypes"/>
</file>