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kopumā neatbalsta normatīvā aktā tālāku virzību, jo piedāvātais regulējums vairākos būtiskos aspektos ir neskaidrs un nepilnīgs.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tvērums ir nepilnīgs. Lūdzam papildināt ar jaunu apakšpunktu, nosakot, ka MK noteikumi nosaka arī datu devēja datu kopu uzskaitījumu, kurām kā minimums ir jābūt pieejamām DAGR, kā arī to 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tekstu, ka datu devējs ir arī atbildīgs par datu kvalitāti tādā minimālajā apjomā, kā nodefinēts Valsts informāciju sistēmu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punktu - DAGR šajā savā attīstības stadijā nenodrošina informācijas apriti starp informācijas sistēmām. Ar datu krātuves starpniecību ir piekļuve datu kopām. Arī anotācijā norādīts, ka decentralizētais modelis, kad informācijas aprite starp informācijas sistēmām notiks nepastarpināti, ir tikai nākotnes iecere.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Personas datu pseidonimizēšanu un anonimizēšanu datu devējs vai cita institūcija atbilstoši normatīvajiem aktiem var veikt izmantojot DAGR funkcionalitāti tiem savā pārziņā esošajiem datiem, kuri ir iekļauti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precizēt anotācijā vai noteikumu tekstā, kas ir 'citas institūcijas" un kā tām var būt piekļuve DAGR, ja darbības DAGR var veikt tikai datu devējs, datu saņēmējs un DAGR uzturētājs. Kādam pilnvarojumam citā normatīvajā aktā jāpastāv, lai cita institūcija varētu DAGR veikt pseidonimizēšanu un anonimizēšanu?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lietošanas noteikumus, kā arī izmaiņas tajos saskaņo ar Vides aizsardzības un reģionālās attīstības ministriju (turpmāk –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17. punktu, iekļaujot prasību saskaņot DAGR lietošanas noteikumus ar Centrālo statistikas pārvaldi, jo īpaši attiecībā uz datu krātuves lietošanas nosacījumiem, vienoto datu modeli, pseidonimizēšanas un anonimizēšanas risinājumiem. Iebildums attiecībā uz 17. punktu skatāms kopsakarā ar iebildumu par 6. punktu - nepieciešams ari izskatīt to, vai tomēr nav nepieciešams definēt arī kādas minimālās datu kvalitātes prasības, piemēram, datu kopu metadatu sagatavošanas un pieejamības prasības DAGR, elementārās pamatbārbaudes - ierakstu skaits laikrindā, PK atbilstība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punktā noteiktais informēšanas termiņš ir nesamērīgs attiecībā pret to, kā izmaiņas skars datu devēju un saņēmēju, un kādus pielāgojumus tiem nāksies veikt, lai turpinātu laicīgi saņemt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skaidrot tiesisko konstrukciju, kādu paredz šie noteikumi. Saskaņā ar 30. punktu DAGR tiek iekļautas punktā minētās sistēmas, kas nozīmē, ka attiecībā uz šiem datu devēju jau ir pieņemts lēmums sniegt datus. Ja citi valsts informāciju sistēmu pārziņi vēlēsies sniegt datus, izmantojot DAGR, tad tie varētu arī nebūt iekļauti 30. punktā, kas nozīmē, ka uz daļu no datu sniedzējiem attiecas obligāts pienākums sniegt datus, bet uz citiem šāda pienākuma nav. Šāda pieeja liek apšaubīt mērķtiecīgu un vienveidīgu pieeju datu aprites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27. punktu, jo nav skaidrs ar ko atsevišķi vienojas datu devējs un ar ko - datu saņēmējs. Anotācijas 8. lpp.. ir rakstīts, ka datu devējs un datu saņēmējs savstarpēji vienojas par datu aprites apjomu, kas sevī iekļauj datu aprites nodrošināšanu, kā arī kārtību kādā datu saņēmējs informēs datu devēju par datu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ko nozīmē vārdkopa - datu kopa. Spēkā esošajos VIRSIS noteikumos šāds termina skaidrojums nav iekļauts. Vai plānots skaidrojumu iekļaut jaunajos VIRSIS noteikumos? Tāpat norādām, ka nav skaidrs, kāpēc ir jāsasaista DAGR ar VIRSIS. DAGR jābūt konkrētai datu kopai ar skaidri saprotamu datu apjomu un datu atjaunošanas periodiskumu, kā arī jābūt skaidrībai par izmaiņām datos. Noteikumu projekta pašreizējā redakcija nevieš skaidrību par 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punktā arī citas valsts informācijas sistēmas, kas ir svarīgas oficiālās statistikas nodrošināšanai, vai skaidrot anotācijā, kāpēc šobrīd nav iekļautas tādas informācijas sistēmas, kas ir Nodarbinātības valsts aģentūras, Nacionālā veselības dienesta vai Labklājības ministrijas pārziņā? Pilnais ifnformācijas sistēmu saraksts, no kurām Pārvaldei nepieciešams saņemt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(FKTK)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 (LDC)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nu migrācijas lietu pārvalde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(VAAD)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(ATD)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 (LJA)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(CAA)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viesnīcu un restorānu asociācija (LVRSA)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Augstrpiegumu tīkls (AT)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ģeoloģijas un meteoroloģijas centrs (LVĢMC)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Mežu dienests (VMD)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skaidrot anotācijā attiecībā uz to, kā tiks nodrošinātas datu saņēmēja intereses saņemt datus termiņos, kādas tam ir noteiktas savu funkciju izpildei. Datu devēja datu uzglabāšanas termiņi ne vienmēr var sakrist ar datu saņēmēja funkciju izpildes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