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sniegto komentāru par demarkācijas nodrošināšanu lūdzam anotācijā sniegt informāciju, vai ir izvērtētas Zemkopības ministrijas atbalsta programmas attiecībā uz līdzīga atbalsta finansējuma piesaistei kapitāla tirgos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aktuālo finansējuma sadalījumu pa intervences kodiem, kas, tajā skaitā, ir nepieciešams korektai datu ievadei KPVIS sistēmā pēc MK noteikumu grozījumu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izteiktajam priekšlikumam lūgums anotācijā paredzēt risku, ka Eiropas Komisija var neatbalstīt Ekonomikas ministrijas ierosinātos grozījumus ES kohēzijas politikas programmā 2021. - 2027.gadam, tādējādi paredzot veikt attiecīgus grozījumus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Projektu iesniegumos pasākuma īstenošanai pieejamo kopējo attiecināmo finansējumu plāno ne vairāk kā 1 662 563 </w:t>
            </w:r>
            <w:r w:rsidR="00000000" w:rsidRPr="00000000" w:rsidDel="00000000">
              <w:rPr>
                <w:i w:val="1"/>
                <w:rtl w:val="0"/>
              </w:rPr>
              <w:t xml:space="preserve">euro </w:t>
            </w:r>
            <w:r w:rsidR="00000000" w:rsidRPr="00000000" w:rsidDel="00000000">
              <w:rPr>
                <w:rtl w:val="0"/>
              </w:rPr>
              <w:t xml:space="preserve">apmērā, tai skaitā ERAF finansējumu – 1 413 178 </w:t>
            </w:r>
            <w:r w:rsidR="00000000" w:rsidRPr="00000000" w:rsidDel="00000000">
              <w:rPr>
                <w:i w:val="1"/>
                <w:rtl w:val="0"/>
              </w:rPr>
              <w:t xml:space="preserve">euro</w:t>
            </w:r>
            <w:r w:rsidR="00000000" w:rsidRPr="00000000" w:rsidDel="00000000">
              <w:rPr>
                <w:rtl w:val="0"/>
              </w:rPr>
              <w:t xml:space="preserve"> apmērā un valsts budžeta finansējumu – 249 385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plānoto MK noteikumu 5. un 6.punktu, jo punktos norādītie finansējuma apmēri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pasākuma ietvaros tiek sniegts granta veidā saskaņā ar Eiropas Komisijas 2023. gada 13. decembra Regulu (ES) Nr.  2023/2831 par Līguma par Eiropas Savienības darbību 107.  un 108. panta piemērošanu de minimis  atbalstam (turpmāk  – Komisijas regula Nr. 2023/2831), Eiropas Komisijas 2013. gada 18. decembra Regulu (ES) Nr. 1408/2013 par Līguma par Eiropas Savienības darbību 107. un 108. panta piemērošanu de minimis atbalstam lauksaimniecības nozarē (turpmāk - Komisijas regula Nr. 1408/2013) vai Eiropas Komisijas 2014. gada 27. jūnija Regulu (ES) Nr. 717/2014 par Līguma par Eiropas Savienības darbību 107. un 108. panta piemērošanu de minimis atbalstam zvejniecības un akvakultūras nozarē (turpmāk - Komisijas regula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nepārprotamu izpratni par finanšu plūsmu projekta īstenošanai, atbilstoši Anotācijā sniegtajam skaidrojumam, aicinām papildināt MKN 13. punktu, norādot, ka grants tiek izmaksāts tikai pēc sekmīgas akciju vai parāda vērstpapīru iekļaušanās tirdzniecības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Atbalsts netiek piešķirts projekta iesniedzējam, kurš: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18.punktā minēto normu atbilstību plānotajam pasākuma mērķim. Šobrīd šīs normas aizliedz saņemt atbalstu uzņēmumam, kas vienlaikus darbojas vairākās nozarēs, pat ja tas veic nozaru darbību nodalīšanu, kas ir tikai loģiski, jo dalībai kapitāla tirgos atbalstu gūst viss uzņēmums. Taču vēršam uzmanību, ka noteikumu projekta 18.punktā minētās normas ir pretrunā noteikumu 35.punktā noteiktajam un aicinām pretrunu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03.04.2025.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25-TA-116</w:t>
    </w:r>
    <w:r>
      <w:br/>
    </w:r>
    <w:r w:rsidR="00000000" w:rsidRPr="00000000" w:rsidDel="00000000">
      <w:rPr>
        <w:rtl w:val="0"/>
      </w:rPr>
      <w:t xml:space="preserve">Izdrukāts 03.04.2025.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Atzinumi_25-TA-116.docx</dc:title>
</cp:coreProperties>
</file>

<file path=docProps/custom.xml><?xml version="1.0" encoding="utf-8"?>
<Properties xmlns="http://schemas.openxmlformats.org/officeDocument/2006/custom-properties" xmlns:vt="http://schemas.openxmlformats.org/officeDocument/2006/docPropsVTypes"/>
</file>