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pieprasīt un bez maksas saņemt no valsts un pašvaldību iestādēm, komercsabiedrībām un organizācijām personas datus, īpašu kategoriju personas datus un aktuālos un vēsturiskos personas datus par sodāmību par personām, par kurām ir ierosināta lieta vai arī saņemts iesniegums par bērna vai aizgādnībā esošas personas tiesību pārkāpumu,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neatbalsta vēsturisko personas datu par sodāmību apstrādi. Norādām, ka atbilstoši Administratīvās atbildības likuma 24. panta trešajai daļai un Krimināllikuma 63. panta trešajai daļai, persona ir atzīstama par nesodītu, kad ir izpildīti attiecīgajos pantos minētie nosacījumi. Šīs informācijas izmantošana var radīt atkārtotas sodīšanas risku, ja šī informācija tiks ņemta vērā, sagatavojot personas raksturojumu un izvērtējot personas atbilstību aizbildņa vai aizgādņa lomai. Atbilstoši Senāta Administratīvo lietu departamenta 2022. gada 4. februāra sprieduma lietā SKA-265/2022 7. punktam, apstrādājot personas datus, iestādei jāraugās, lai netiktu pārsniegts tas, kas ir nepieciešams mērķa sasniegšanai. Šī prasība nav izpildīta, ja izvirzīto vispārējo interešu mērķi saprātīgi var sasniegt tikpat efektīvi ar citiem līdzekļiem, kas mazāk aizskartu datu subjektu pamattiesības, it īpaši tiesības uz privātās dzīves neaizskaramību un personas datu aizsardzību. Atkāpties no šāda datu aizsardzības principa var tikai tiktāl, cik tas ir strikti nepieciešams. Līdz ar to uzskatām, ka personas raksturojuma un spējām rūpēties par bērnu vai uzņemties aizgādņa pienākumus izvērtējumam jau tiek paredzēts plašs pieejamās informācijas apjoms, piemēram, no bērna mācību iestādēm, sociālā dienesta, darba devēja utml., kas ļauj pieņemt bērna interesēm atbilstošu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