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atbilstoši šo noteikumu </w:t>
            </w:r>
            <w:r w:rsidR="00000000" w:rsidRPr="00000000" w:rsidDel="00000000">
              <w:rPr>
                <w:rtl w:val="0"/>
              </w:rPr>
              <w:t xml:space="preserve">17.1.</w:t>
            </w:r>
            <w:r w:rsidR="00000000" w:rsidRPr="00000000" w:rsidDel="00000000">
              <w:rPr>
                <w:rtl w:val="0"/>
              </w:rPr>
              <w:t xml:space="preserve"> apakšpunkta</w:t>
            </w:r>
            <w:r w:rsidR="00000000" w:rsidRPr="00000000" w:rsidDel="00000000">
              <w:rPr>
                <w:rtl w:val="0"/>
              </w:rPr>
              <w:t xml:space="preserve">m iegādātā elektromobiļa pastāvīgu reģistrāciju Latvijas Republikas teritorijā finansējuma saņēmēja īpašumā vai turējumā (ja līzinga periodā īpašnieks ir līzinga pakalpojuma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trešās kārtas ietvaros komersantiem (noteikumu 9.3.punkts), tostarp pašvaldību kapitālsabiedrībām kā komersantiem, iegādātais elektromobilis jāuztur finansējuma saņēmēja īpašumā vai turējumā vismaz četrus gadus pēc projekta īstenošanas termiņa beigām vai līdz brīdim, kad ar elektromobili nobraukti vismaz 80 000 km. Savukārt pašvaldībām un tiešās pārvaldes iestādēm trešajā kārtā noteikts 41 600 km nobraukuma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konkursa trešās kārtas ietvaros pašvaldību kapitālsabiedrībām piemērojamo 80 000 km nobraukuma prasību un noteikt pašvaldību kapitālsabiedrībām tādu pašu minimālo nobraukuma prasību kā pašvaldībām un tiešās pārvaldes iestādēm</w:t>
            </w:r>
            <w:r w:rsidR="00000000" w:rsidRPr="00000000" w:rsidDel="00000000">
              <w:rPr>
                <w:rtl w:val="0"/>
              </w:rPr>
              <w:t xml:space="preserve">, proti, 41 600 km četru gadu monitoringa periodā, vai arī paredzēt diferencētu pieeju atkarībā no transportlīdzekļa faktiskā izmantošanas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lai arī juridiski ir komersanti, bieži nodrošina pašvaldību autonomo funkciju izpildi un sabiedrisko pakalpojumu sniegšanu, piemēram, sociālos un veselības aprūpes pakalpojumus vai citus pašvaldības deleģētus uzdevumus. Šādu pakalpojumu sniegšanā transportlīdzekļi pārsvarā tiek izmantoti ierobežotā administratīvā teritorijā un īsos, regulāros maršrutos, kuru dēļ 80 000 km nobraukuma prasības sasniegšana daudzos gadījumos nav objektīvi 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grozījumu projekts jau paredz, ka pašvaldībām un tiešās pārvaldes iestādēm pietiekama ir 41 600 km nobraukuma prasība, tādējādi atzīstot, ka publisko funkciju nodrošināšanai izmantotajiem transportlīdzekļiem nav raksturīga tik intensīva ekspluatācija kā komercdarbībā izmantotajiem transportlīdzekļiem. Pašvaldību kapitālsabiedrības pēc būtības atrodas salīdzināmā situācijā ar pašvaldībām, jo arī tās bieži darbojas publiska pakalpojuma nodrošināšanas, nevis peļņas maksimizēšanas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80 000 km prasība atturēs pašvaldību kapitālsabiedrības no dalības programmā un samazinās Modernizācijas fonda atbalsta pieejamību publisko pakalpojumu sniedzējiem, tādējādi mazinot programmas mērķa sasniegšanu attiecībā uz transporta sektora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grozījumu projekts vienlaikus samazina minimālo autoparka prasību no 5 uz 2 transportlīdzekļiem un minimālo iegādājamo elektromobiļu skaitu no 3 uz 1, kas apliecina likumdevēja mērķi paplašināt atbalsta pieejamību mazākām organizācijām. Šim mērķim neatbilst nemainīgi augstas 80 000 km monitoringa prasības saglabāšana pašvaldību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w:t>
            </w:r>
            <w:r w:rsidR="00000000" w:rsidRPr="00000000" w:rsidDel="00000000">
              <w:rPr>
                <w:b w:val="1"/>
                <w:u w:val="single"/>
                <w:rtl w:val="0"/>
              </w:rPr>
              <w:t xml:space="preserve">aicinām papildināt noteikumu 32., 33., 108. un 109. punktu, paredzot, ka konkursa trešās kārtas ietvaros 41 600 km nobraukuma slieksnis piemērojams arī pašvaldību kapitālsabiedrībām (noteikumu 9.3.punktā norādītajiem projekta iesnieguma iesniedzējam – komersantiem), kuras nodrošina pašvaldības funkciju izpildi, deleģētu pārvaldes uzdevumu vai sabiedrisko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11.08.2026. 12.53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11.08.2026. 12.53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