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25-TA-745: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Dabas resursu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noskaidrot arī Konkurences padomes viedokli par likumprojektu “Grozījumi Dabas resursu nodokļa likumā” (turpmāk – Likumprojekts), tā kā pirmreizējās Likumprojekta starpinstitucionālās skaņošanas ietvaros Konkurences padome izteica iebildumu par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Skārleta Dombrovska-Latišenko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papildinātā Likumprojekta anotācijas 1.3. apakšsadaļa liecina, ka Likumprojekta izstrādes ietvaros netika izskatīts neviens efektīvs alternatīvs risinājums, kas neparedzētu normatīvā regulējuma izmaiņas, piemēram, sabiedrības un komersantu izglītošanas pasākumu organizēšana, dažādu motivējošu kampaņu organizēšana u.tml. Ekonomikas ministrija vērš uzmanību, ka atbilstoši </w:t>
            </w:r>
            <w:r w:rsidR="00000000" w:rsidRPr="00000000" w:rsidDel="00000000">
              <w:rPr>
                <w:i w:val="1"/>
                <w:rtl w:val="0"/>
              </w:rPr>
              <w:t xml:space="preserve">Vadlīnijām tiesību akta projekta sākotnējās ietekmes novērtēšanai un novērtējuma ziņojuma sagatavošanai Vienotajā tiesību aktu izstrādes un saskaņošanas portālā</w:t>
            </w:r>
            <w:r w:rsidR="00000000" w:rsidRPr="00000000" w:rsidDel="00000000">
              <w:rPr>
                <w:rtl w:val="0"/>
              </w:rPr>
              <w:t xml:space="preserve">, identificējot dažādus iespējamos risinājumus (alternatīvas), iespējams koncentrēties uz tādu risinājumu apsvēršanu, kas nemaz neietver nepieciešamību izstrādāt/grozīt tiesību aktu. Līdz ar to Ekonomikas ministrija aicina Likumprojekta izstrādes procesā apsvērt arī tādus risinājumus, kas neparedz normatīvā regulējuma izmaiņas. Pretējā gadījumā pastāv būtisks risks radīt lieku un nesamērīgu administratīvo slogu komersantiem, kā arī cenas pieaugumu patērētājiem. Tostarp atbilstoši papildinātajai Likumprojekta anotācijai jāņem vērā, ka pastāv būtisks risks, ka augstākas cenas veicinās patērētāju interesi par nelegālajām elektronisko smēķēšanas ierīču tirdzniecības formām, kas viennozīmīgi būtu nesamērīgi pret ar Likumprojektu paredzētajiem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Skārleta Dombrovska-Latišenko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papildinātā Likumprojekta anotācijas 2.5. apakšsadaļa tomēr uzskatāmi neatspoguļo kopējās izmaksas, kas radīsies elektronisko smēķēšanas ierīču ražotājiem un tirgotājiem atkarībā no konkrēto preču apgrozījuma saistībā ar Likumprojektā paredzēto jauno obligāto pienākumu izpildi, tā kā Likumprojekta anotācijas 2.5. apakšsadaļā ietvertās atbilstības izmaksas ir norādītas tikai attiecībā pret 1 elektronisko smēķēšanas ierīci. Līdz ar to Ekonomikas ministrija aicina papildināt Likumprojekta anotācijas 2.5. apakšsadaļu, norādot atbilstības izmaksas attiecībā pret visām Latvijā ik gadu tirgū laistajām elektroniskajām smēķēšanas ierīcēm (aptuveni 15 milj.) un proporcionāli sadalot tās pret Latvijā reģistrēto smēķēšanas ierīču ražotāju un tirgotāju skaitu (19 gab.), tādējādi iegūstot aptuvenās izmaksas, kas radīsies katram Latvijā reģistrētajam smēķēšanas ierīču ražotājam un tirgotājam saistībā ar Likumprojektā paredzēto jauno obligāto pienākumu izpildi. Tas ļaus uzskatāmi novērtēt ar Likumprojektu radītā administratīvā sloga apmēru Latvijā reģistrētajiem smēķēšanas ierīču ražotājiem un tirgotājiem, kā arī tā samērīgumu pret ar Likumprojektu paredzētajiem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Skārleta Dombrovska-Latišenko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25-TA-745</w:t>
    </w:r>
    <w:r>
      <w:br/>
    </w:r>
    <w:r w:rsidR="00000000" w:rsidRPr="00000000" w:rsidDel="00000000">
      <w:rPr>
        <w:rtl w:val="0"/>
      </w:rPr>
      <w:t xml:space="preserve">Izdrukāts 26.09.2025.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25-TA-745</w:t>
    </w:r>
    <w:r>
      <w:br/>
    </w:r>
    <w:r w:rsidR="00000000" w:rsidRPr="00000000" w:rsidDel="00000000">
      <w:rPr>
        <w:rtl w:val="0"/>
      </w:rPr>
      <w:t xml:space="preserve">Izdrukāts 26.09.2025.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Atzinumi_25-TA-745.docx</dc:title>
</cp:coreProperties>
</file>

<file path=docProps/custom.xml><?xml version="1.0" encoding="utf-8"?>
<Properties xmlns="http://schemas.openxmlformats.org/officeDocument/2006/custom-properties" xmlns:vt="http://schemas.openxmlformats.org/officeDocument/2006/docPropsVTypes"/>
</file>