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0EC3E" w14:textId="50817235" w:rsidR="004D216D" w:rsidRDefault="005A5CBA" w:rsidP="00D671C8">
      <w:pPr>
        <w:ind w:firstLine="360"/>
        <w:jc w:val="both"/>
      </w:pPr>
      <w:r w:rsidRPr="005A5CBA">
        <w:t xml:space="preserve">Latvijas Elektrotehnikas un elektronikas rūpniecības asociācija </w:t>
      </w:r>
      <w:r>
        <w:t>(</w:t>
      </w:r>
      <w:r w:rsidRPr="005A5CBA">
        <w:t>LETER</w:t>
      </w:r>
      <w:r>
        <w:t>A)</w:t>
      </w:r>
      <w:r w:rsidRPr="005A5CBA">
        <w:t xml:space="preserve"> </w:t>
      </w:r>
      <w:r>
        <w:t xml:space="preserve">ir izskatījusi </w:t>
      </w:r>
      <w:r w:rsidRPr="005A5CBA">
        <w:t>Eiropas Savienības Atveseļošanas un noturības mehānisma plāna 2. komponentes “Digitālā transformācija” 2.3. reformu un investīciju virziena “Digitālās prasmes” 2.3.1.2.i. investīcijas “Uzņēmumu digitālo prasmju attīstība” īstenošanas noteikum</w:t>
      </w:r>
      <w:r>
        <w:t xml:space="preserve">u projektu </w:t>
      </w:r>
      <w:r w:rsidR="00D362E5">
        <w:t>(turpmāk – MKN projekts)</w:t>
      </w:r>
      <w:r>
        <w:t xml:space="preserve"> un iesniedz savus komentārus:</w:t>
      </w:r>
    </w:p>
    <w:p w14:paraId="39F6CA83" w14:textId="2324677E" w:rsidR="005A5CBA" w:rsidRPr="00D671C8" w:rsidRDefault="000C41CE" w:rsidP="00D671C8">
      <w:pPr>
        <w:pStyle w:val="ListParagraph"/>
        <w:numPr>
          <w:ilvl w:val="0"/>
          <w:numId w:val="1"/>
        </w:numPr>
        <w:jc w:val="both"/>
        <w:rPr>
          <w:u w:val="single"/>
        </w:rPr>
      </w:pPr>
      <w:r>
        <w:t>24.3.1. p</w:t>
      </w:r>
      <w:r w:rsidR="00CE58FF">
        <w:t xml:space="preserve">unkts – </w:t>
      </w:r>
      <w:r w:rsidR="00D671C8">
        <w:t xml:space="preserve"> lai nesamazinātu gala labuma guvējiem (komersantiem) apgrozāmo līdzekļu plūsmu, </w:t>
      </w:r>
      <w:r w:rsidR="00CE58FF">
        <w:t xml:space="preserve">noteikt maksājuma pieprasījuma iesniegšanu </w:t>
      </w:r>
      <w:r w:rsidR="00CE58FF" w:rsidRPr="00D671C8">
        <w:rPr>
          <w:u w:val="single"/>
        </w:rPr>
        <w:t xml:space="preserve">ne </w:t>
      </w:r>
      <w:r w:rsidR="002E4361">
        <w:rPr>
          <w:u w:val="single"/>
        </w:rPr>
        <w:t>biežāk</w:t>
      </w:r>
      <w:r w:rsidR="00CE58FF" w:rsidRPr="00D671C8">
        <w:rPr>
          <w:u w:val="single"/>
        </w:rPr>
        <w:t xml:space="preserve"> kā reizi ceturksnī</w:t>
      </w:r>
      <w:r w:rsidR="00D671C8" w:rsidRPr="00D671C8">
        <w:rPr>
          <w:u w:val="single"/>
        </w:rPr>
        <w:t xml:space="preserve">; </w:t>
      </w:r>
    </w:p>
    <w:p w14:paraId="215A59F3" w14:textId="108BFE0F" w:rsidR="00D671C8" w:rsidRDefault="000C41CE" w:rsidP="00D671C8">
      <w:pPr>
        <w:pStyle w:val="ListParagraph"/>
        <w:numPr>
          <w:ilvl w:val="0"/>
          <w:numId w:val="1"/>
        </w:numPr>
        <w:jc w:val="both"/>
      </w:pPr>
      <w:r>
        <w:t>24.6. p</w:t>
      </w:r>
      <w:r w:rsidR="00D671C8">
        <w:t>unkts</w:t>
      </w:r>
      <w:r>
        <w:t xml:space="preserve"> </w:t>
      </w:r>
      <w:r w:rsidR="00D671C8">
        <w:t>– iesakām sagatavot vienotu komercdarbības atbalsta pieškiršanas metodoloģiju, kuru var</w:t>
      </w:r>
      <w:r w:rsidR="002F7653">
        <w:t>ētu</w:t>
      </w:r>
      <w:r w:rsidR="00D671C8">
        <w:t xml:space="preserve"> izmantot visi finansējuma saņēmēji; </w:t>
      </w:r>
    </w:p>
    <w:p w14:paraId="46123ABD" w14:textId="24BFB931" w:rsidR="00D671C8" w:rsidRDefault="000C41CE" w:rsidP="00D671C8">
      <w:pPr>
        <w:pStyle w:val="ListParagraph"/>
        <w:numPr>
          <w:ilvl w:val="0"/>
          <w:numId w:val="1"/>
        </w:numPr>
        <w:jc w:val="both"/>
      </w:pPr>
      <w:r>
        <w:t>24.7. p</w:t>
      </w:r>
      <w:r w:rsidR="00D671C8">
        <w:t>unkts</w:t>
      </w:r>
      <w:r>
        <w:t xml:space="preserve"> </w:t>
      </w:r>
      <w:r w:rsidR="00D671C8">
        <w:t xml:space="preserve">– </w:t>
      </w:r>
      <w:r>
        <w:t>nepieciešams redakcionāls precizējums, lai nerastot pārpratumi</w:t>
      </w:r>
      <w:r w:rsidR="00D671C8">
        <w:t xml:space="preserve"> </w:t>
      </w:r>
      <w:r>
        <w:t>ko</w:t>
      </w:r>
      <w:r w:rsidR="00D4391C">
        <w:t xml:space="preserve"> īsti</w:t>
      </w:r>
      <w:r>
        <w:t xml:space="preserve"> ietver komercdarbības atbalsta pieķiršanas gala labuma guvējiem nodrošināšana </w:t>
      </w:r>
      <w:r w:rsidR="00D4391C">
        <w:t>(ņ</w:t>
      </w:r>
      <w:r>
        <w:t xml:space="preserve">emot vērā, ka </w:t>
      </w:r>
      <w:r w:rsidR="00D4391C">
        <w:t>68.</w:t>
      </w:r>
      <w:r w:rsidR="00424555">
        <w:t xml:space="preserve"> </w:t>
      </w:r>
      <w:r w:rsidR="00D4391C">
        <w:t>punkts</w:t>
      </w:r>
      <w:r>
        <w:t xml:space="preserve"> nosaka, </w:t>
      </w:r>
      <w:r w:rsidR="00424555">
        <w:t xml:space="preserve">ka </w:t>
      </w:r>
      <w:r w:rsidR="00D4391C">
        <w:t xml:space="preserve">lēmumu par komercdarbības atbalsta piešķiršanu izsniedz CFLA); </w:t>
      </w:r>
    </w:p>
    <w:p w14:paraId="2C1BFE35" w14:textId="20FD9D70" w:rsidR="00D4391C" w:rsidRDefault="00D4391C" w:rsidP="00D671C8">
      <w:pPr>
        <w:pStyle w:val="ListParagraph"/>
        <w:numPr>
          <w:ilvl w:val="0"/>
          <w:numId w:val="1"/>
        </w:numPr>
        <w:jc w:val="both"/>
      </w:pPr>
      <w:r>
        <w:t xml:space="preserve">35.3.1. punkts – punkta redakcija nesniedz skaidru izpratni </w:t>
      </w:r>
      <w:r w:rsidR="00A86423">
        <w:t>kā</w:t>
      </w:r>
      <w:r>
        <w:t xml:space="preserve"> tiek aprēķināti 15%</w:t>
      </w:r>
      <w:r w:rsidR="000D09AE">
        <w:t xml:space="preserve"> pārējām administrēšanas izmaksām</w:t>
      </w:r>
      <w:r w:rsidR="00A86423">
        <w:t xml:space="preserve"> (no kurām izmaksām</w:t>
      </w:r>
      <w:r w:rsidR="006228AB">
        <w:t xml:space="preserve"> tie veikts aprēķins</w:t>
      </w:r>
      <w:r w:rsidR="00A86423">
        <w:t xml:space="preserve"> (tikai no darba algas vai no visām īstenošanas personāla izmaksām t.sk. apdrošināšanas)</w:t>
      </w:r>
      <w:r w:rsidR="006228AB">
        <w:t>?</w:t>
      </w:r>
      <w:r w:rsidR="00A86423">
        <w:t xml:space="preserve"> kas ir vienotā izmaksu likme?)</w:t>
      </w:r>
      <w:r>
        <w:t xml:space="preserve">; </w:t>
      </w:r>
    </w:p>
    <w:p w14:paraId="6A59C397" w14:textId="3B6186B0" w:rsidR="0018496D" w:rsidRDefault="00D4391C" w:rsidP="00D362E5">
      <w:pPr>
        <w:pStyle w:val="ListParagraph"/>
        <w:numPr>
          <w:ilvl w:val="0"/>
          <w:numId w:val="1"/>
        </w:numPr>
        <w:jc w:val="both"/>
      </w:pPr>
      <w:r>
        <w:t xml:space="preserve">35.3.2. punkts </w:t>
      </w:r>
      <w:r w:rsidR="006228AB">
        <w:t>–</w:t>
      </w:r>
      <w:r>
        <w:t xml:space="preserve"> </w:t>
      </w:r>
      <w:r w:rsidR="006228AB">
        <w:t xml:space="preserve">no punkta redakcijas nav saprotams </w:t>
      </w:r>
      <w:r w:rsidR="0018496D">
        <w:t>vai</w:t>
      </w:r>
      <w:r w:rsidR="006228AB">
        <w:t xml:space="preserve"> papildus izmaksu pozīcijas var tikt iekļautas </w:t>
      </w:r>
      <w:r w:rsidR="0018496D">
        <w:t xml:space="preserve">ārpakalpojumu </w:t>
      </w:r>
      <w:r w:rsidR="006228AB">
        <w:t>grāmatvedības pakalpojumu un juridisko pakalpojumu līgum</w:t>
      </w:r>
      <w:r w:rsidR="000D09AE">
        <w:t>os</w:t>
      </w:r>
      <w:r w:rsidR="006228AB">
        <w:t xml:space="preserve"> (pašreizējā redakcijā ir minēts, ka papildus izmaksas kā atsevišķu pozīciju var iekļaut tikai </w:t>
      </w:r>
      <w:r w:rsidR="0018496D">
        <w:t xml:space="preserve">ārpakalpojumu </w:t>
      </w:r>
      <w:r w:rsidR="006228AB">
        <w:t>projekt</w:t>
      </w:r>
      <w:r w:rsidR="0018496D">
        <w:t>a</w:t>
      </w:r>
      <w:r w:rsidR="006228AB">
        <w:t xml:space="preserve"> vadības līgumā)</w:t>
      </w:r>
      <w:r w:rsidR="001B036C">
        <w:t>.</w:t>
      </w:r>
    </w:p>
    <w:p w14:paraId="0D1908BC" w14:textId="631087B9" w:rsidR="00D362E5" w:rsidRDefault="00D362E5" w:rsidP="00D362E5">
      <w:pPr>
        <w:jc w:val="both"/>
      </w:pPr>
      <w:r>
        <w:t>Komentāri par MKN projekta anotāciju</w:t>
      </w:r>
      <w:r w:rsidR="003C5D48">
        <w:t xml:space="preserve"> (turpmāk – Anotācija)</w:t>
      </w:r>
      <w:r>
        <w:t>:</w:t>
      </w:r>
    </w:p>
    <w:p w14:paraId="65CFA9BA" w14:textId="40FE380D" w:rsidR="00D362E5" w:rsidRDefault="003C5D48" w:rsidP="00D362E5">
      <w:pPr>
        <w:pStyle w:val="ListParagraph"/>
        <w:numPr>
          <w:ilvl w:val="0"/>
          <w:numId w:val="2"/>
        </w:numPr>
        <w:jc w:val="both"/>
      </w:pPr>
      <w:r>
        <w:t>Anotācijā minētā informācija sadaļā “</w:t>
      </w:r>
      <w:r w:rsidRPr="003C5D48">
        <w:t>Atbalstāmās darbības un ar tām saistītās izmaksas</w:t>
      </w:r>
      <w:r>
        <w:t xml:space="preserve">” – </w:t>
      </w:r>
      <w:r w:rsidRPr="003C5D48">
        <w:rPr>
          <w:i/>
          <w:iCs/>
        </w:rPr>
        <w:t>“projekta vadība un ar to saistītas izmaksas, kas gadā nepārsniedz 24 426 euro pieskaitot 0,64 % no projekta kopējām tiešajām izmaksām, neieskaitot tiešās projekta vadības izmaksas</w:t>
      </w:r>
      <w:r w:rsidR="0059649F">
        <w:rPr>
          <w:i/>
          <w:iCs/>
        </w:rPr>
        <w:t>.</w:t>
      </w:r>
      <w:r w:rsidRPr="003C5D48">
        <w:rPr>
          <w:i/>
          <w:iCs/>
        </w:rPr>
        <w:t>”</w:t>
      </w:r>
      <w:r>
        <w:rPr>
          <w:i/>
          <w:iCs/>
        </w:rPr>
        <w:t xml:space="preserve"> </w:t>
      </w:r>
      <w:r>
        <w:t xml:space="preserve">ir pretrunā ar MKN projekta 35.3. punkta un tā apakšpunktos minētajiem nosacījumiem. </w:t>
      </w:r>
    </w:p>
    <w:p w14:paraId="7DAA6DC0" w14:textId="2E0C66D6" w:rsidR="003A682C" w:rsidRDefault="003C5D48" w:rsidP="00D362E5">
      <w:pPr>
        <w:pStyle w:val="ListParagraph"/>
        <w:numPr>
          <w:ilvl w:val="0"/>
          <w:numId w:val="2"/>
        </w:numPr>
        <w:jc w:val="both"/>
      </w:pPr>
      <w:r>
        <w:t xml:space="preserve">Anotācijā </w:t>
      </w:r>
      <w:r w:rsidR="0059649F">
        <w:t>ir</w:t>
      </w:r>
      <w:r>
        <w:t xml:space="preserve"> noteikts, ka </w:t>
      </w:r>
      <w:r w:rsidRPr="003A682C">
        <w:rPr>
          <w:i/>
          <w:iCs/>
        </w:rPr>
        <w:t>“2.3.1.2.i. investīcijas ietvaros gala labuma guvējiem abās kārtās kā priekšnoteikums finansējuma saņemšanai ir noteikts EDIC veikts digitālā brieduma tests, lai noteiktu komersantam nepieciešamās investīcijas digitalizācijas jomā un saņemtu digitālās attīstības ceļa karti. Abu kārtu finansējuma saņēmēji sniegs grantu gala labuma guvējiem tikai tām atbalstāmajām aktivitātēm, kas būs atrunātas digitālā brieduma testa rezultātos un digitālās attīstības ceļa kartē. Pēc atbalsta saņemšanas gala labuma guvējam būs nepieciešams veikt atkārtotu EDIC administrēto digitālā brieduma testu, lai būtu iespējams salīdzināt pirmreizējā un atkārtotā testa rezultātus, lai spētu novērtēt investīciju ieguldījumu komersanta digitalizācijas līmeņa uzlabošanā. Digitālā brieduma testa izmaksas tiek segtas EDIC pieejamā Atveseļošanās fonda finansējuma ietvaros.”</w:t>
      </w:r>
      <w:r w:rsidR="0059649F">
        <w:t xml:space="preserve">. Savukārt </w:t>
      </w:r>
      <w:r w:rsidR="003A682C">
        <w:t>MKN noteikumu projekt</w:t>
      </w:r>
      <w:r w:rsidR="0059649F">
        <w:t>a redakcijā</w:t>
      </w:r>
      <w:r w:rsidR="003A682C">
        <w:t xml:space="preserve"> par to nekas netiek minēts. </w:t>
      </w:r>
    </w:p>
    <w:p w14:paraId="41F3CEAF" w14:textId="0BC7BAAF" w:rsidR="003A682C" w:rsidRDefault="003A682C" w:rsidP="0089101C">
      <w:pPr>
        <w:pStyle w:val="ListParagraph"/>
        <w:jc w:val="both"/>
      </w:pPr>
      <w:r>
        <w:t>Lai komersanti varētu piedalīties apmācībās vis</w:t>
      </w:r>
      <w:r w:rsidR="008748E7">
        <w:t>ā</w:t>
      </w:r>
      <w:r>
        <w:t xml:space="preserve"> projekta īstenošanas periodā</w:t>
      </w:r>
      <w:r w:rsidR="001A3209">
        <w:t xml:space="preserve"> un uz apmācībām nosūtīt pēc iespējas vairāk darbnieku</w:t>
      </w:r>
      <w:r>
        <w:t xml:space="preserve">, iesakam </w:t>
      </w:r>
      <w:r w:rsidR="001A3209">
        <w:t>noteikt</w:t>
      </w:r>
      <w:r>
        <w:t xml:space="preserve">, ka atkārtots digitālā brieduma tests tiek </w:t>
      </w:r>
      <w:r w:rsidR="008748E7">
        <w:t>veikts projekta beigās</w:t>
      </w:r>
      <w:r w:rsidR="001A3209">
        <w:t xml:space="preserve"> nevis uzreiz pēc apmācībām</w:t>
      </w:r>
      <w:r w:rsidR="00345D93">
        <w:t xml:space="preserve"> vai atbalsta saņemšanas (jo vienām un tām pašām apmācībām atbalst</w:t>
      </w:r>
      <w:r w:rsidR="00A14694">
        <w:t>u komersants</w:t>
      </w:r>
      <w:r w:rsidR="00345D93">
        <w:t xml:space="preserve"> var pieprasīt </w:t>
      </w:r>
      <w:r w:rsidR="006F3C47">
        <w:t>atkārtoti, piemēram gadījumā, ja darbā tiek pieņemti jauni darbinieki</w:t>
      </w:r>
      <w:r w:rsidR="00345D93">
        <w:t>)</w:t>
      </w:r>
      <w:r w:rsidR="0089101C">
        <w:t>.</w:t>
      </w:r>
    </w:p>
    <w:sectPr w:rsidR="003A68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6560"/>
    <w:multiLevelType w:val="hybridMultilevel"/>
    <w:tmpl w:val="4A785E08"/>
    <w:lvl w:ilvl="0" w:tplc="F5264D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F425FC"/>
    <w:multiLevelType w:val="hybridMultilevel"/>
    <w:tmpl w:val="DD34C5EC"/>
    <w:lvl w:ilvl="0" w:tplc="71E03F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4305700">
    <w:abstractNumId w:val="0"/>
  </w:num>
  <w:num w:numId="2" w16cid:durableId="207299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CBA"/>
    <w:rsid w:val="000C41CE"/>
    <w:rsid w:val="000D09AE"/>
    <w:rsid w:val="0018496D"/>
    <w:rsid w:val="001A3209"/>
    <w:rsid w:val="001B036C"/>
    <w:rsid w:val="002E4361"/>
    <w:rsid w:val="002F7653"/>
    <w:rsid w:val="00345D93"/>
    <w:rsid w:val="003A682C"/>
    <w:rsid w:val="003C5D48"/>
    <w:rsid w:val="00424555"/>
    <w:rsid w:val="004D216D"/>
    <w:rsid w:val="0059649F"/>
    <w:rsid w:val="005A5CBA"/>
    <w:rsid w:val="006228AB"/>
    <w:rsid w:val="006C23DC"/>
    <w:rsid w:val="006F3C47"/>
    <w:rsid w:val="007E2311"/>
    <w:rsid w:val="008748E7"/>
    <w:rsid w:val="0089101C"/>
    <w:rsid w:val="00A14694"/>
    <w:rsid w:val="00A86423"/>
    <w:rsid w:val="00CE58FF"/>
    <w:rsid w:val="00D362E5"/>
    <w:rsid w:val="00D4391C"/>
    <w:rsid w:val="00D67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416B"/>
  <w15:chartTrackingRefBased/>
  <w15:docId w15:val="{153BAD79-53BF-48DE-B868-2C37ACF47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C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2124</Words>
  <Characters>1211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LETERA Apmācības</dc:creator>
  <cp:keywords/>
  <dc:description/>
  <cp:lastModifiedBy>LETERA Apmācības</cp:lastModifiedBy>
  <cp:revision>17</cp:revision>
  <dcterms:created xsi:type="dcterms:W3CDTF">2022-04-19T06:27:00Z</dcterms:created>
  <dcterms:modified xsi:type="dcterms:W3CDTF">2022-04-19T11:57:00Z</dcterms:modified>
</cp:coreProperties>
</file>