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2.1.apakšsadaļā norādīta informācija par sabiedrības grupām, kuras tiesiskais regulējums ietekmē vai varētu ietekmēt, tai skaitā norādīts, ka projekts ietekmēs vai varētu ietekmēt arī </w:t>
            </w:r>
            <w:r w:rsidR="00000000" w:rsidRPr="00000000" w:rsidDel="00000000">
              <w:rPr>
                <w:u w:val="single"/>
                <w:rtl w:val="0"/>
              </w:rPr>
              <w:t xml:space="preserve">juridiskās personas</w:t>
            </w:r>
            <w:r w:rsidR="00000000" w:rsidRPr="00000000" w:rsidDel="00000000">
              <w:rPr>
                <w:rtl w:val="0"/>
              </w:rPr>
              <w:t xml:space="preserve"> ar paskaidrojumu, ka ietekmēs dabas parka teritorijas </w:t>
            </w:r>
            <w:r w:rsidR="00000000" w:rsidRPr="00000000" w:rsidDel="00000000">
              <w:rPr>
                <w:u w:val="single"/>
                <w:rtl w:val="0"/>
              </w:rPr>
              <w:t xml:space="preserve">iedzīvotājus un apmeklētājus</w:t>
            </w:r>
            <w:r w:rsidR="00000000" w:rsidRPr="00000000" w:rsidDel="00000000">
              <w:rPr>
                <w:rtl w:val="0"/>
              </w:rPr>
              <w:t xml:space="preserve">, tūrisma, atpūtas, sporta, piedzīvojumu u.tml. aktīvistus un pakalpojuma sniedzējus, zemes, ēku, dzīvokļu, meža un citu nekustamo īpašumu apsaimniekotāju darību, būvniekus, dārzu kopējus un lauksaimniekus, pētniekus, medniekus, zvejniekus,  atzinumu sniedzējus - sugu un biotopu aizsardzības jomas sertificētus ekspertus, bezmugurkaulnieku sugu aizsardzības jomas sertificētus ekspertus, ģeologus, kokkopjus (arboristus).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sniegtais skaidrojums par projekta ietekmi uz juridiskām personām ir atbilstošs, tas ir, vai visi norādītie subjekti var būt juridiskās personas (piemēram, iedzīvotāji un apmeklētāji). Nepieciešamības gadījumā lūdzam precizēt anotācijas 2.1.apakšsadaļas skaidrojumu attiecībā uz projekta ietekmi uz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24.11.2022.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24.11.2022.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