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(2) Ministru kabinets nosaka pakalpojumus, ko Valsts kanceleja un Valsts administrācijas skola sniedz valsts pārvaldes vienotā pakalpojumu centra ietvaros, un šo pakalpojumu sniegšanas kārtību, kā arī kārtību, kādā valsts institūcijas, pašvaldības un privātpersonas pievienojas minēto pakalpojumu saņemšanai Valsts kancelejā un Valsts administrācijas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un drošības riskus, lai iespējami vairāk samazinātu iespēju publiskā telpā atrast brīvi pieejamu informāciju par aizsardzības nozarē strādājošajiem un amatiem, kurus viņi ieņem, nepieciešams 9.panta piektājā daļā paredzēt izņēmumu, ka  Nodarbinātības valsts aģentūras vakanču portālā Aizsarbības ministrija un tās padotības iestādes nepublicē informāciju par pretendentu iecelšanu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iestāde, </w:t>
            </w:r>
            <w:r w:rsidR="00000000" w:rsidRPr="00000000" w:rsidDel="00000000">
              <w:rPr>
                <w:u w:val="single"/>
                <w:rtl w:val="0"/>
              </w:rPr>
              <w:t xml:space="preserve">izņemot Aizsardzības ministriju un tās padotības iestādes,</w:t>
            </w:r>
            <w:r w:rsidR="00000000" w:rsidRPr="00000000" w:rsidDel="00000000">
              <w:rPr>
                <w:rtl w:val="0"/>
              </w:rPr>
              <w:t xml:space="preserve"> publicē Nodarbinātības valsts aģentūras vakanču portālā šā panta trešajā daļā minētās amatpersonas lēmumu par pretendenta iecelšanu amatā piecu 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