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valsts augstskolu kapitālsabiedrību dibinātām izglītības iestādēm. RTU Inženierzinātņu vidusskola un RTU Starptautiskā zinātņu un tehnoloģiju skola ir SIA “RTU Starptautiskā zinātņu un tehnoloģiju skola” dibinātas iestādes. SIA ir 100% RTU piederoša kapitālsabiedrība. Dibināšanas laikā Augstskolu likums neļāva veidot vidējās vispārējās izglītības iestādes augstākās izglītības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w:t>
            </w:r>
            <w:r w:rsidR="00000000" w:rsidRPr="00000000" w:rsidDel="00000000">
              <w:rPr>
                <w:b w:val="1"/>
                <w:rtl w:val="0"/>
              </w:rPr>
              <w:t xml:space="preserve">valsts augstskolu kapitālsabiedrību dibinātas izglītības iestādes</w:t>
            </w:r>
            <w:r w:rsidR="00000000" w:rsidRPr="00000000" w:rsidDel="00000000">
              <w:rPr>
                <w:rtl w:val="0"/>
              </w:rPr>
              <w:t xml:space="preserve"> nodrošina, ka līdz attiecīgā gada 5. septembrim informācijas sistēmā tiek ievadīta un apstiprināta informācija par bērnu un izglītojamo skaitu un klašu komplektu skaitu izglītības iestādēs (pa klasēm un izglītības programmām) attiecīgā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17.03.2026.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17.03.2026.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