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pieejamais kopējais finansējums ir</w:t>
            </w:r>
            <w:r w:rsidR="00000000" w:rsidRPr="00000000" w:rsidDel="00000000">
              <w:rPr>
                <w:b w:val="1"/>
                <w:rtl w:val="0"/>
              </w:rPr>
              <w:t xml:space="preserve"> </w:t>
            </w:r>
            <w:r w:rsidR="00000000" w:rsidRPr="00000000" w:rsidDel="00000000">
              <w:rPr>
                <w:rtl w:val="0"/>
              </w:rPr>
              <w:t xml:space="preserve">20 786 378  euro, tai skaitā Eiropas Sociālā fonda Plus finansējums 17 668 421 euro un valsts budžeta finansējums – 3 117 957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aktuālo Eiropas Savienības Kohēzijas politikas programmas 2021. – 2027. gadam (turpmāk - Programma) grozījumu projekta virzību un sarunas ar Eiropas Komisiju, lūdzam izvērtēt iespēju precizēt noteikumu projekta 8.punktā pasākumam pieejamo finansējumu atbilstoši Programmas papildinājumā noteiktajam finansējuma apjomam, t.i. kopējais finansējums 21 288 711 euro, tai skaitā Eiropas Sociālā fonda Plus finansējums 18 095 404 euro un valsts budžeta finansējums – 3 193 307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veikt atbilstošu precizējumus anotācijā, t.sk. attiecībā uz intervences kodiem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pieejamais kopējais finansējums ir 21 288 711 euro, tai skaitā Eiropas Sociālā fonda Plus finansējums 18 095 404 euro un valsts budžeta finansējums – 3 193 307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Pasākuma ietvaros finansējuma saņēmējam izmaksas ir attiecināmas, ja tās atbilst šajos noteikumos minētajām izmaksu pozīcijām un ir radušās no 2024.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sniegto informāciju par nepieciešamo finansējumu līdz vienošanās noslēgšanai (iekļaujot laika periodu no 2024.gada oktobra līdz decembrim), lūdzam izvērtēt MK noteikumu projekta 27.punktā paredzēto izmaksu attiecināmības sākuma datumu no 2024.gada 1.janvāra un to precizēt. Ja tomēr ir izmaksas, kuras radušās jau laika periodā no 2024.gada 1.janvāra, tad lūdzam tās norādīt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informāciju par izmaksu attiecināmību Valsts izglītības satura centram (turpmāk – VISC) atbilstoši noteikumu projekta 28.punktā minētajam, ka VISC izmaksas ir attiecināmas, ja tās atbilst šajos noteikumos minētajām izmaksu pozīcijām un ir radušās no Ministru kabineta noteikumu spēkā stāšanās brīža (šobrīd anotācijā norādīts, ka attiecināmas no 2024.gada 1.oktobra).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attiecībā uz Ministru kabineta 2024. gada 30. jūlija rīkojumu Nr. 635 "Par Valsts izglītības attīstības aģentūras pārveidošanu un Valsts izglītības satura centra un Jaunatnes starptautisko programmu aģentūras likvidāciju". Proti, ar  2025. gada 1. janvāri plānots likvidēt Izglītības un zinātnes ministrijas padotībā esošo valsts pārvaldes iestādi  – VISC  un nodot tā funkcijas un uzdevumus Valsts izglītības attīstības aģentūrai, kā arī pārveidot Valsts izglītības attīstības aģentūru, tai skaitā mainot tās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3. sadaļas Tiesību akta projekta ietekme uz valsts budžetu un pašvaldību budžetiem apakšsadaļas Cita informācija otro rindkopu, dzēšot tekstu "likumprojekta "Par valsts budžetu 2029.gadam un budžeta ietvaru 2029., 2030. un 2031.gadam" sagatavošanas procesā", ņemot vērā, ka tuvākajos gados ir plānota pāreja uz četrus gadus garu vidējā termiņa budžeta ietvaru.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Tostarp jautājums par papildus nepieciešamo finansējumu pēc projekta beigām 2030.gadam tiks izskatīts normatīvajos aktos noteiktajā kārtībā kopā ar visu ministriju un citu valsts pārvaldes iestāžu prioritāro pasākumu pieteikumiem atbilstoši valsts budžeta finansiālajām iespējām. 2029.gadā tas tiks izskatīts, sagatavojot likumprojektu par valsts budžetu kārtējam gadam un vidēja termiņa budžeta ietvaru. Pieļaujot to, ka papildu finansējuma piešķiršana Izglītības un zinātnes ministrijas rosinātajam prioritārajam pasākumam projekta rezultātu ilgtspējas nodrošināšanai attiecīgā vidējā termiņa budžeta likumprojekta sagatavošanas procesā var netikt atbalstīts, tad sagatavojot informatīvo ziņojumu būs veikts izvērtējums turpmākai rīcībai šāda iznākuma gadījumā, vienlaikus kā iespēju izskatot risinājumu meklēšanu pieejamā budžeta ietvaros, veicot pārdales Izglītības un zinātnes ministrijas iekšējā resorā.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aktuālo Programmas grozījumu projekta neformālo virzību un sarunas ar Eiropas Komisiju par finansējuma pārdali no Programmas 4.2.3.2.pasākuma uz 4.2.2.4.pasākumu, lūdzam papildināt Ministru kabineta protokollēmuma projektu ar punktu par atļauju sadarbības iestādei slēgt vienošanos par projekta īstenošanu tad, kad saņemts pozitīvs Eiropas Komisijas lēmums par iesniegtajiem Eiropas Savienības Kohēzijas politikas programmas 2021. – 2027. gadam grozījumiem attiecībā uz 4.2.2.4.pasakumu.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18.09.2024. 21.46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18.09.2024. 21.46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