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Labklājības ministrija un Izglītības un zinātnes ministrijas, kuru pārziņā ir šī protokollēmuma 3.punktā minēto investīciju, kuru ietvaros ir konstatēts Atveseļošanas fonda finansējuma ietaupījums, īstenošana, neuzņemas saistības par Atveseļošanās fonda finansējuma ietaupījumu šī protokollēmuma 3.punktā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protokollēmuma redakcija nav atbalstāma, jo IZM pārziņā esošajā 2.3.2.1.i, kas norādīta kā viens no pārdales avotiem, ir uzņemtas saistības (noslēgti līgumi ar finansējuma saņēmējiem) par visu investīcijā pieejamo finansējumu. Ir nepieciešams MK lēmums, lai atļautu CFLA kā līgumslēdzējam samazināt attiecīgā projekta, kurā radies ietaupījums, līguma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Miķelsone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18.07.2025.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