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25-TA-623: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17. decembra noteikumos Nr. 881 "Eiropas Savienības kohēzijas politikas programmas 2021.–2027. gadam 2.1.1. specifiskā atbalsta mērķa "Energoefektivitātes veicināšana un siltumnīcefekta gāzu emisiju samazināšana" 2.1.1.4. pasākuma "Energoefektivitātes paaugstināšana valsts ēkās" un 2.1.1.7. pasākuma "Valsts iestāžu infrastruktūras optimizācija"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minēto informāciju, norādot, ka 2.1.1.7. pasākuma atlases projekta iesnieguma iesniegšanas priekšizskatīšanā termiņš ir pagarināts līdz 2025. gada 29.augustam, jo  31. augusts ir svētdiena un attiecīgi 30. un 31. augustā CFLA nespēj nodrošināt konsultatīvo atbalstu finansējuma saņēmējam.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Ofkante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Atļaut Centrālajai finanšu un līgumu aģentūrai kā Eiropas Savienības fondu sadarbības iestādei pēc projektu iesniegumu apstiprināšanas: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nepieciešamību precizēt Ministru kabineta protokollēmuma 4.punktu, t.i.  kontekstā ar plānoto atlases laika grafiku, proti, protokollēmuma trešais punkts paredz atļauju izsludināt atlasi un sniegt projektu iesniegumus par visu finansējumu, t.i. ieskaitot elastības finansējumu, vienlaikus, līgumus attiecīgi varēs noslēgt tikai pēc ES kohēzijas politikas programmas 2021.-2027.gadam grozījumu apstiprināšanas Eiropas Komisijā. Eiropas Komisijai lēmums jāpieņem četru mēnešu laikā.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1</w:t>
            </w:r>
            <w:r w:rsidR="00000000" w:rsidRPr="00000000" w:rsidDel="00000000">
              <w:rPr>
                <w:rtl w:val="0"/>
              </w:rPr>
              <w:t xml:space="preserve"> Šo noteikumu 8.2.1. un 8.3.1. apakšpunktā minētajā rādītājā iekļauj ēkas platību, ja projekta īstenošanas rezultātā atbalstītās ēkas energoefektivitātes klase ir paaugstināta vismaz par vienu vienību.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izvērst anotācijā skaidrojumu attiecībā uz 8.1 punktā paredzēto, proti, vai šāds nosacījums nenozīmē risku, ka 2.1.1.4.pasākuma "Energoefektivitātes paaugstināšana valsts ēkās" un 2.1.1.7.pasākuma "Valsts iestāžu infrastruktūras optimizācija" ietvaros faktiski tiek paredzēta situācija, ka tiks atbalstītas tādas ēkas, kas nesniegs ieguldījumu iznākuma rādītājā "Atbalstīto valsts ēku platība". Lūdzam Ekonomikas ministriju skaidrot, kā šāda situācija tiks novērsta vai, ja attiecināms, sniegt pamatojumu šādu ēku iekļaušanai pasākumu ietvaros, ja tie nesniedz pienesumu rādītāju sasniegšanā.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Finansējuma saņēmējs paraksta apliecinājumu par interešu konflikta neesību, kā arī projekta īstenošanas laikā nodrošina interešu konflikta neesību saskaņā ar Eiropas Parlamenta un Padomes 2024. gada 23. septembra Regulas (ES, Euratom) </w:t>
            </w:r>
            <w:r w:rsidR="00000000" w:rsidRPr="00000000" w:rsidDel="00000000">
              <w:rPr>
                <w:rtl w:val="0"/>
              </w:rPr>
              <w:t xml:space="preserve">2024/2509</w:t>
            </w:r>
            <w:r w:rsidR="00000000" w:rsidRPr="00000000" w:rsidDel="00000000">
              <w:rPr>
                <w:rtl w:val="0"/>
              </w:rPr>
              <w:t xml:space="preserve"> par finanšu noteikumiem, ko piemēro Savienības vispārējam budžetam,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projekta 44.punkta nepieciešamību, ņemot vērā gan konkrētā specifiskā atbalsta mērķa projekta veidu, kā arī to, ka  Eiropas Parlamenta un Padomes 2024. gada 23. septembra Regulas (ES, Euratom) 2024/2509 par finanšu noteikumiem, ko piemēro Savienības vispārējam budžetam (pārstrādātā redakcija) 61.panta prasības ir tieši piemērojamas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Eiropas Savienības kohēzijas politikas programmas 2021.–2027. gadam 2.1.1. specifiskā atbalsta mērķa "Energoefektivitātes veicināšana un siltumnīcefekta gāzu emisiju samazināšana" 2.1.1.4. pasākuma "Energoefektivitātes paaugstināšana valsts ēkās" projektu iesniedzēji un finansējuma sadalījums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pielikuma 4.punktā noteikto, ir plānots veikt ieguldījumus arī tādās ēkās, kuras ilgstoši nav ekspluatētas, tostarp, minētajām ēkām vēsturiski nav veikta energosertifikācija, tomēr saskaņā ar Ministru kabineta 2021. gada 8. aprīļa noteikumos Nr. 222 "Ēku energoefektivitātes aprēķina metodes un ēku energosertifikācijas noteikumi" noteiktajiem standartiem šādām ēkām ir iespējams novērtēt aprēķināto energoefektivitāti ar nosacījumiem bez energoefektivitātes uzlabošanas un ar uzlabotu energoefektivitāti. Attiecīgi lūdzam Ekonomikas ministriju pirms noteikumu projekta tālākas virzības nodrošināt, ka noteikumos ir ietverti skaidri projekta īstenošanas nosacījumi šo ēku gadījumā. Vienlaikus aicinām pirms tālākas noteikumu projekta virzības nepieciešamības gadījumā organizēt starpinstitūciju sanāksmi ar, lai pārrunātu šo un citus neskaidros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aicinām pielikumā precizēt kopsummas valsts budžeta finansējumam, ņemot vērā, ka šobrīd norādītajā finansējumā iekļautas arī privātās attiecināmās izmaksas.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Irma Bondare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30.05.2025.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25-TA-623</w:t>
    </w:r>
    <w:r>
      <w:br/>
    </w:r>
    <w:r w:rsidR="00000000" w:rsidRPr="00000000" w:rsidDel="00000000">
      <w:rPr>
        <w:rtl w:val="0"/>
      </w:rPr>
      <w:t xml:space="preserve">Izdrukāts 30.05.2025.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Atzinumi_25-TA-623.docx</dc:title>
</cp:coreProperties>
</file>

<file path=docProps/custom.xml><?xml version="1.0" encoding="utf-8"?>
<Properties xmlns="http://schemas.openxmlformats.org/officeDocument/2006/custom-properties" xmlns:vt="http://schemas.openxmlformats.org/officeDocument/2006/docPropsVTypes"/>
</file>