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13. septembra noteikumos Nr. 577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2.2.1.1.i.  investīcijas "Atbalsts Digitālo inovāciju centru un reģionālo kontaktpunktu izveidei"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Informācijas tehnoloģiju klasteris"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Centrālā finanšu un līgumu aģentūra pieņem lēmumu par Eiropas digitālās inovācijas centra atbilstību Komisijas regulas Nr. </w:t>
            </w:r>
            <w:r w:rsidR="00000000" w:rsidRPr="00000000" w:rsidDel="00000000">
              <w:rPr>
                <w:rtl w:val="0"/>
              </w:rPr>
              <w:t xml:space="preserve">651/2014</w:t>
            </w:r>
            <w:r w:rsidR="00000000" w:rsidRPr="00000000" w:rsidDel="00000000">
              <w:rPr>
                <w:rtl w:val="0"/>
              </w:rPr>
              <w:t xml:space="preserve"> 27. panta nosacījumiem un par finansējuma piešķiršanu Eiropas digitālās inovācijas centram saskaņā ar Komisijas 2013. gada 18. decembra Regulu ES Nr. 1407/2013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(Eiropas Savienības Oficiālais Vēstnesis, 2013. gada 24. decembris, Nr. L 352/1) (turpmāk – Komisijas regula Nr. </w:t>
            </w:r>
            <w:r w:rsidR="00000000" w:rsidRPr="00000000" w:rsidDel="00000000">
              <w:rPr>
                <w:rtl w:val="0"/>
              </w:rPr>
              <w:t xml:space="preserve">1407/2013</w:t>
            </w:r>
            <w:r w:rsidR="00000000" w:rsidRPr="00000000" w:rsidDel="00000000">
              <w:rPr>
                <w:rtl w:val="0"/>
              </w:rPr>
              <w:t xml:space="preserve">) vai Eiropas Komisijas 2014. gada 27. jūnija Regulu ES Nr. 717/2014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zvejniecības un akvakultūras nozarē (Eiropas Savienības Oficiālais Vēstnesis, 2014. gada 28. jūnijs, Nr. L 190/45) (turpmāk - Komisijas regula Nr. </w:t>
            </w:r>
            <w:r w:rsidR="00000000" w:rsidRPr="00000000" w:rsidDel="00000000">
              <w:rPr>
                <w:rtl w:val="0"/>
              </w:rPr>
              <w:t xml:space="preserve">717/2014</w:t>
            </w:r>
            <w:r w:rsidR="00000000" w:rsidRPr="00000000" w:rsidDel="00000000">
              <w:rPr>
                <w:rtl w:val="0"/>
              </w:rPr>
              <w:t xml:space="preserve">) vai Eiropas Komisijas 2013. gada 18. decembra Regulu ES Nr. 1408/2013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lauksaimniecības nozarē (Eiropas Savienības Oficiālais Vēstnesis, 2013. gada 24. decembris, Nr. L 352/9) (turpmāk - Komisijas regula Nr. </w:t>
            </w:r>
            <w:r w:rsidR="00000000" w:rsidRPr="00000000" w:rsidDel="00000000">
              <w:rPr>
                <w:rtl w:val="0"/>
              </w:rPr>
              <w:t xml:space="preserve">1408/2013</w:t>
            </w:r>
            <w:r w:rsidR="00000000" w:rsidRPr="00000000" w:rsidDel="00000000">
              <w:rPr>
                <w:rtl w:val="0"/>
              </w:rPr>
              <w:t xml:space="preserve">), lai sniegtu pakalpojumus gala labuma guvējam saskaņā ar šo noteikumu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minētajām izmaksām. Par komercdarbības atbalsta piešķiršanas dienu uzskatāma diena, kad Centrālā finanšu un līgumu aģentūra pieņem lēmumu par komercdarbības atbalsta piešķiršanu.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izstrādāto 52. punkta piedāvāto redakciju, lai diferencētu atbalstu intensitātes starp EDIC un inovāciju kopu pēc Komisijas regulas Nr. 651/2014 27. panta nosacījumiem, un gala labuma guvējiem saskaņā ar de minimis atbalsta regulām.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piedāvātā redakcija neatbilst plānoto grozījumu būtībai, lai nodrošinātu, ka EDIC un inovāciju kopa saņem 50% atbalstu pēc Komisijas regulas Nr. 651/2014 27. panta nosacījumiem, bet gala labuma guvējiem maksimāli 100% atbalstu no Atveseļošanās fonda par izmaksām, jo daļa no gala labuma guvēja izmaksām no Atveseļošanās fonda tiks kumulēta ar finansējumu 50% apmērā no programmas “Digitālā Eiropa”, bet daļa izmaksas tiks segtas 100% apmērā no Atveseļošanās fonda.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2.2.1.1.i. investīcijas ietvaros sasniedzami šādi: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MKN 2.4. punktā norādītie gala labuma guvēji ir ne tikai komersanti, bet arī biedrības un nodibinājumi, kas apvieno vairākus komersantus, publiskas personas vai to institūcijas, publisku personu kapitālsabiedrības, pētniecības un zināšanu izplatīšanas organizācijas, kas reģistrēta Latvijas Republikas teritorijā, tad nepieciešams precizēt sasniedzamos mērķus iekļaujot ne tikai uzņēmumus, bet arī citus gala labumu guvējus.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pie Eiropas Digitālās inovācijas centriem viens gala labuma guvējs var vērsties vairākas reizes, lai izstrādātu digitālās attīstības ceļa kartes katram plānotajam digitalizācijas projektam, tad papildus ierosinām precizēt sasniedzamos mērķus un uzraudzības rādītāju, definējot nevis gala labuma guvēju skaitu, bet gan kā sniegto pakalpojumu skaitu gala labuma guvējiem.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2.2.1.1.i. investīcijas ietvaros sasniedzami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 līdz 2024. gada 30. jūnijam Eiropas digitālās inovācijas centra gala labuma guvējiem sniegto pakalpojumu skaits – 3500;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 līdz 2026. gada 30. jūnijam Eiropas digitālās inovācijas centra gala labuma guvējiem sniegto pakalpojumu skaits – 7000;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uzraudzības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10.2.1. līdz 2022. gada 31. martam apstiprināti Ministru kabineta noteikumi Eiropas digitālās inovācijas centra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10.2.2. līdz 2025. gada 31. decembrim Eiropas digitālās inovācijas centra gala labuma guvējiem sniegto pakalpojumu skaits – 5000;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Šo noteikumu </w:t>
            </w:r>
            <w:r w:rsidR="00000000" w:rsidRPr="00000000" w:rsidDel="00000000">
              <w:rPr>
                <w:rtl w:val="0"/>
              </w:rPr>
              <w:t xml:space="preserve">29.5.</w:t>
            </w:r>
            <w:r w:rsidR="00000000" w:rsidRPr="00000000" w:rsidDel="00000000">
              <w:rPr>
                <w:rtl w:val="0"/>
              </w:rPr>
              <w:t xml:space="preserve"> apakšpunktā</w:t>
            </w:r>
            <w:r w:rsidR="00000000" w:rsidRPr="00000000" w:rsidDel="00000000">
              <w:rPr>
                <w:rtl w:val="0"/>
              </w:rPr>
              <w:t xml:space="preserve"> minēto eksperimentēšanas, pilotēšanas un testēšanas darbību īstenošanai Eiropas digitālās inovācijas centrs gala labuma guvējam sniedz tehnoloģisko pakalpojumu, nepārsniedzot 20 000 </w:t>
            </w:r>
            <w:r w:rsidR="00000000" w:rsidRPr="00000000" w:rsidDel="00000000">
              <w:rPr>
                <w:i w:val="1"/>
                <w:rtl w:val="0"/>
              </w:rPr>
              <w:t xml:space="preserve">euro</w:t>
            </w:r>
            <w:r w:rsidR="00000000" w:rsidRPr="00000000" w:rsidDel="00000000">
              <w:rPr>
                <w:rtl w:val="0"/>
              </w:rPr>
              <w:t xml:space="preserve"> un noslēdzot par to attiecīgu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ka izmaksas tiek segtas 100% apmērā no Atveseļošanās fonda finansējuma, ņemot vērā, ka šāda veida izmaksas netiek segtas no programmas "Digitālā Eiropa"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Šo noteikumu 29.5. apakšpunktā minēto eksperimentēšanas, pilotēšanas un testēšanas darbību īstenošanai Eiropas digitālās inovācijas centrs gala labuma guvējam sniedz tehnoloģisko pakalpojumu, nepārsniedzot 20 000 euro un noslēdzot par to attiecīgu līgumu, un uz darbībām attiecināmās izmaksas sedzot 100% apmērā no Atveseļošanās fonda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33.5. izmaksas, kas saistītas ar pabeigtām darbībām līgumu noslēgšanas brīdī starp Eiropas digitālās inovācijas centru un Centrālo finanšu un līgumu aģentūru un Eiropas digitālās inovācijas centru un gala labuma guvēju.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vienlīdzīgu pieeju EDIC darbībai gan no Atveseļošanās fonda, gan no programmas "Digitālā Eiropa”, aicinām grozīt noteikumus, paredzot, ka visas projekta darbības tiek līdzfinansētas no Atveseļošanās fonda no projekta pirmās īstenošanas dienas, kas norādīta EDIC noslēgtajos līgumos ar Eiropas Komisiju par programmas "Digitālā Eiropa”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36.5. piešķirt komercdarbības atbalstu gala labuma guvējiem;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61.6. punktā norādīts, ja publiska persona vai tās institūcijas vai publiskas personas kapitālsabiedrības sniegtie pakalpojumi nav saistīti ar saimniecisko darbību, tad Eiropas digitālās inovācijas centrs piešķir atbalstu tikai no Atveseļošanas fonda finansējuma 100 % apmērā un tas nav uzskatāms par komercdarbības atbalstu, aicinām MKN iestrādāt regulējumu par atbalstu, ko piešķir publiskai personai vai tās institūcijai vai publiskas personas kapitālsabiedrībai, ja tā neveic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36.13. nodrošināt gala labuma guvējiem klātienes vai elektronisku piekļuvi sākotnējam un otrreizējam digitālā brieduma testam un 30 dienu laikā pēc gala labuma guvēja pieprasījuma klātienē vai elektroniski izstrādāt digitālās attīstības ceļa karti;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nav korekti noformulētas digitālā brieduma testa veikšanas iespējas gala labuma guvējiem, nodalot klātienes vai elektronisku piekļuvi. Piedāvājam redakciju aizstājot klātienes testu ar EDIC eksperta iesaisti testa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36.13. nodrošināt gala labuma guvējiem piekļuvi sākotnējam un otrreizējam digitālā brieduma testam, nepieciešamības gadījumā nodrošināt EDIC eksperta iesaisti pakalpojuma veikšanā, un 30 dienu laikā pēc gala labuma guvēja pieprasījuma izstrādāt klātienē vai elektroniski digitālās attīstības ceļa karti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49.1.4. uz to nav attiecināmi regulas Nr. </w:t>
            </w:r>
            <w:r w:rsidR="00000000" w:rsidRPr="00000000" w:rsidDel="00000000">
              <w:rPr>
                <w:rtl w:val="0"/>
              </w:rPr>
              <w:t xml:space="preserve">2018/1046</w:t>
            </w:r>
            <w:r w:rsidR="00000000" w:rsidRPr="00000000" w:rsidDel="00000000">
              <w:rPr>
                <w:rtl w:val="0"/>
              </w:rPr>
              <w:t xml:space="preserve"> 136. pantā noteiktie izslēgšanas kritēriji;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norādītos punktus, lai nodrošinātu vienlīdzīgu regulējumu gala labuma guvējiem starp digitalizācijas programmām (piem., 2.2.1.2.i. investīcijas "Atbalsts procesu digitalizācijai komercdarbībā"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49.2.2. uz to nav attiecināmi regulas Nr. </w:t>
            </w:r>
            <w:r w:rsidR="00000000" w:rsidRPr="00000000" w:rsidDel="00000000">
              <w:rPr>
                <w:rtl w:val="0"/>
              </w:rPr>
              <w:t xml:space="preserve">2018/1046</w:t>
            </w:r>
            <w:r w:rsidR="00000000" w:rsidRPr="00000000" w:rsidDel="00000000">
              <w:rPr>
                <w:rtl w:val="0"/>
              </w:rPr>
              <w:t xml:space="preserve"> 136. pantā noteiktie izslēgšanas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norādītos punktus, lai nodrošinātu vienlīdzīgu regulējumu gala labuma guvējiem starp digitalizācijas programmām (piem., 2.2.1.2.i. investīcijas "Atbalsts procesu digitalizācijai komercdarbībā"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61.6. vai publiska persona vai tās institūcija vai publiskas personas kapitālsabiedrība veic vai neveic saimniecisko darbību. Ja Eiropas digitālās inovācijas centrs konstatē, ka publiskas personas vai tās institūcijas vai publiskas personas kapitālsabiedrības sniegtie pakalpojumi nav saistīti ar saimniecisko darbību, Eiropas digitālās inovācijas centrs piešķir atbalstu tikai no Atveseļošanas fonda finansējuma 100 % apmērā un tas nav uzskatāms par komercdarbības atbalstu publiskai personai vai tās institūcijai vai publiskas personas kapitālsabiedrībai.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MKN punkts pasaka, ka gadījumā, ja publiska persona vai tās institūcijas vai publiskas personas kapitālsabiedrības sniegtie pakalpojumi nav saistīti ar saimniecisko darbību, tad Eiropas digitālās inovācijas centrs piešķir atbalstu tikai no Atveseļošanas fonda finansējuma 100 % apmērā un tas nav uzskatāms par komercdarbības atbalstu, lūdzam MKN iestrādāt regulējumu par atbalstu, ko piešķir publiskai personai vai tās institūcijai vai publiskas personas kapitālsabiedrībai, ja tā neveic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Pieļaujamā finansējuma intensitāte no projekta kopējām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atbalsta intensitāti gala labuma guvējiem, kuriem piešķiramais atbalsts nav uzskatāms par komercdarbības atbalstu, kā tas norādīts 61.6. punktā, bet ir piešķirams atbalsts 100% apmērā no Atveseļošanās fonda.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Gala labuma guvējs iesniedz Eiropas digitālās inovācijas centram visu informāciju par plānoto un piešķirto atbalstu tā paša projekta ietvaros, tai skaitā par tām pašām attiecināmajām izmaksām, norādot atbalsta piešķiršanas datumu, atbalsta sniedzēju, atbalsta pasākumu un plānoto un piešķirto atbalsta summu un atbalsta intensitāti.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 nozīmē frāze “tā paša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Irmeja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w:t>
    </w:r>
    <w:r>
      <w:br/>
    </w:r>
    <w:r w:rsidR="00000000" w:rsidRPr="00000000" w:rsidDel="00000000">
      <w:rPr>
        <w:rtl w:val="0"/>
      </w:rPr>
      <w:t xml:space="preserve">Izdrukāts 23.02.2023.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w:t>
    </w:r>
    <w:r>
      <w:br/>
    </w:r>
    <w:r w:rsidR="00000000" w:rsidRPr="00000000" w:rsidDel="00000000">
      <w:rPr>
        <w:rtl w:val="0"/>
      </w:rPr>
      <w:t xml:space="preserve">Izdrukāts 23.02.2023.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Atzinumi_23-TA-325.docx</dc:title>
</cp:coreProperties>
</file>

<file path=docProps/custom.xml><?xml version="1.0" encoding="utf-8"?>
<Properties xmlns="http://schemas.openxmlformats.org/officeDocument/2006/custom-properties" xmlns:vt="http://schemas.openxmlformats.org/officeDocument/2006/docPropsVTypes"/>
</file>