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Atbalsta programmas nosacījumi energoefektivitātes paaugstināšanas pasākumu un rūpnieciski ražotu koka karkasu paneļu pilotprojektu īstenošanai daudzdzīvokļu dzīvojamās mājās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budžeta programmas 35.00.00 "Valsts atbalsta programmas" finansējums 1 500 000 euro apmērā, šo noteikumu 9.2. apakšpunktā ietvertā rādītāja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Ekonomikas ministrijas budžeta programmā 35.00.00 "Valsts atbalsta programmas" 2025.gadā paredzēto finansējumu 1 500 000 euro apmērā būs iespējams plānot kā atbalsta programmai pieejamo finansējumu tikai pēc tad, kad likumprojekts “Par valsts budžetu 2025.gadam un budžeta ietvaru 2025., 2026. un 2027.gadam” tiks izskatīts un pieņemts Saeimā. Attiecīgi lūdzam precizēt noteikumu projektu un anotāciju, šobrīd svītrojot informāciju par pieejamo finansējumu 1 500 000 euro apmērā 10 pilotprojektu īstenošanai daudzdzīvokļu dzīvojamo māju atjaunošanai ar rūpnieciski ražotiem koka karkasa paneļiem.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 projekta autoruzraudzība un būvuzraudzība;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Eiropas Savienība (turpmāk -ES) fondu 2021.-2027.gada plānošanas perioda attiecināmo izmaksu noteikšanas nosacījumiem projekta iesnieguma pamatojošās dokumentācijas sagatavošanas izmaksas, būvuzraudzības, autoruzraudzības, būvprojekta tehniskā projekta vai skiču projekta stadijā izmaksas, energosertifikācijas un energoaudita izmaksas kopā ir attiecināmas līdz 10% no projekta kopējām attiecināmajām izmaksām. Vienlaikus atsevišķos, pamatotos gadījumos pieļaujams MK noteikumos par investīcijas īstenošanu noteikt citu slieksni jeb likmi, attiecīgajai atbildīgajai iestādei pamatojot šādu nepieciešamību (t.sk. vienkāršoto izmaksu izmantošanas gadījumā). Šādā gadījumā MK noteikumu anotācijā ir jāsniedz skaidrojums šāda izņēmuma nepieciešamībai, ar datiem pierādot minētā sliekšņa jeb likmes palielinājumu, t.sk. attiecībā uz projekta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27.5.apakšpunktu ar ierobežojumu 10% apmērā, vai arī papildināt anotāciju ar detalizētāku informāciju, kas pamato, kādēļ šāds ierobežojums nav 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izmaksas, kas radušās šo noteikumu 27.6. apakšpunktā minētās atbalstāmās darbības rezultātā, nepārsniedzot 3 procentus no projekta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noteikumu projekta 28.3.apakšpunkta izpratnē ir domāta projekta vadības atlīdzība uz darba līguma pamata vai projekta vadību plānots iepirkt kā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Atbildoši vadošās iestādes vadlīniju Nr.1 2. "Vadlīnijas attiecināmo izmaksu noteikšanai 2021.-2027.gada plānošanas periodā" noteiktajam, ES fondu līdzfinansētajiem projektiem tiek noteikts maksimālais ierobežojums tiešajām projekta vadības personāla atlīdzības izmaksām līdz fiksētajai summai: projektiem ar tiešajām attiecināmajām izmaksām virs 5 milj. EUR personāla izmaksu Eiropas Savienības fondu daļas ierobežojums tiek noteikts kā fiksēta summa līdz 84 787 EUR kalendārajā gadā. 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28.3. apakšpunkta redakciju, iekļaujot šo ierobežojumu un paredzot, ka daļlaika izmaksu attiecināšanas principā jānodrošina nosacījums, ka vismaz 30% no normālā darba laika strādā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pievienotās vērtības nodoklis, ja tas nav atgūstamas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izmaksu attiecināmībai neuzlikt ierobežojumus, kādi nav paredzēti Regulā 2021/1060. Regulas 2021/1060 64.(c) pantā noteikts, ka, ja investīcijas saņem atbalstu no finanšu instrumentiem, kas kombinēti ar atbalstu no programmas dotāciju veidā PVN nav attiecināms par to investīciju izmaksu daļu, kura atbilst atbalstam no programmas dotāciju veidā, ja vien PVN par investīciju izmaksām nav atgūstams saskaņā ar PVN reglamentējošiem valsts tiesību aktiem vai ja investīciju izmaksu daļa, kura atbilst atbalstam no programmas dotāciju veidā, ir mazāka par 5 000 000 </w:t>
            </w:r>
            <w:r w:rsidR="00000000" w:rsidRPr="00000000" w:rsidDel="00000000">
              <w:rPr>
                <w:i w:val="1"/>
                <w:rtl w:val="0"/>
              </w:rPr>
              <w:t xml:space="preserve">euro </w:t>
            </w:r>
            <w:r w:rsidR="00000000" w:rsidRPr="00000000" w:rsidDel="00000000">
              <w:rPr>
                <w:rtl w:val="0"/>
              </w:rPr>
              <w:t xml:space="preserve">(ieskaitot PVN). Secīgi, izņēmumi ir divi un tiem nav jāizpildās vienlaicīgi, tā kā maksimālais kopējais aizdevuma apmērs projekta īstenošanai ir līdz 3 750 000 </w:t>
            </w:r>
            <w:r w:rsidR="00000000" w:rsidRPr="00000000" w:rsidDel="00000000">
              <w:rPr>
                <w:i w:val="1"/>
                <w:rtl w:val="0"/>
              </w:rPr>
              <w:t xml:space="preserve">euro </w:t>
            </w:r>
            <w:r w:rsidR="00000000" w:rsidRPr="00000000" w:rsidDel="00000000">
              <w:rPr>
                <w:rtl w:val="0"/>
              </w:rPr>
              <w:t xml:space="preserve">un maksimālā atlaide jeb granta komponents var būt 50%, tad vienmēr piemērojams minētais izņēmums. Līdz ar to nav nepieciešams PVN attiecināšanai atrunāt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pievienotās vērtības nodoklis.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Artis Jurkevics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izteikto iebildumu par noteikumu projekta 10.2.apakšpunku, lūdzam attiecīgi precizēt anotācijas 3.sadaļā atspoguļoto ietekmi uz budžetu, svītrojot informāciju par finansējumu Ekonomikas ministrijas budžeta programmā 35.00.00 "Valsts atbalsta programmas" 1 500 000 euro apmērā. Vienlaikus vēršam uzmanību, ka precizēta finansiālā ietekme jānorāda arī 5.1.apakšlunktā, savukārt punktā “Cita informācija” jānorāda ministrija, kura piesaistīs finansējumu no budžeta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 noteikumu projektu tiek izstrādāta un nodrošināta jauna atbalsta programma daudzdzīvokļu māju energoefektivitātes uzlabošanai un, ka precizētajam noteikumu projektam nav pievienots anotācijas pielikums - programmas rezultātu radītāju novērtējums, kā arī ņemot vērā noteikumu projekta izziņas 26.punktā Ekonomikas ministrijas sniegto skaidrojumu, ka izvērtējums tiek gatavots un tiks pievienots noteikumu projektam, atkārtoti lūdzam pievienot anotācijas pielikumu - programmas rezultātu radītāju novērtējumu.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Paleja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Nepamatoti izmaksātais vai neatbilstoši izmantotais šo noteikumu 10. punktā minētais finansējums, ko sabiedrība "Altum" ir atguvusi, var tikt atkārtoti izmantots pasākuma ietvaros, ja atgūtie līdzekļi tiek izmantoti tam pašam mērķim, kam tie sākotnēji bija paredzēti.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16.punktā tiek lietoti vārdi "nepamatoti izmaksātais vai neatbilstoši izmantotais finansējums", turpretim noteikumu projekta 15.punktā ir lietoti vārdi "neatbilstoši izmaksātais finansējums". Lūdzam salāgot minēto terminu lietojumu noteikumos, lai nerodas interpretācijas problēmas. Vienlaikus lūdzam pārskatīt arī noteikumu projekta 53.2.7. apakšpunkta pirmo teikuma daļu attiecībā uz minēto vārdu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Vamža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precīzi norādot posmotā projekta 2.posma Eiropas Reģionālās attīstības fonda un nacionāla līdzfinansējuma apjomu, lai būtu iespējams skaidri izsekot, kāda daļa no 2.1.1.1.pasākuma novirzīta posmotā projekta 2.posma finansēšanai un kāds finansējuma apjoms pieejams pārējām 2.1.1.1.pasākuma ietvaros plānotajām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ministrijas vadlīnijas "Eiropas Savienības fondu 2021.–2027. gada plānošanas perioda un Atveseļošanas fonda komunikācijas un dizaina vadlīnijas" nenosaka, vai 2.1.1.1.pasākuma ietvaros plānota centralizēta papildus komunikācijas pasākumu veikšana, t.i. vai tos veiks AS “Attīstības finanšu institūcija Altum” un vai un kādā apjomā informācija tiks lūgta no gala saņēmējiem, lūdzam šo informāciju iekļaut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ka anotācijā minētais attiecībā uz sasniedzamajiem rādītājiem, kas noteikti normatīvajā aktā, kas nosaka Eiropas Savienības kohēzijas politikas programmas 2021.–2027. gadam ietvaros izmantojamo finanšu instrumentu īstenošanas kārtību attiecībā uz kopējo radītāju (RCR 26 un RCO 18) sasniegšanu, specifiski, par brīdi, kad rādītāji var tikt uzskatītiem par sasniegtiem atbilst Eiropas Komisijas radītāju </w:t>
            </w:r>
            <w:r w:rsidR="00000000" w:rsidRPr="00000000" w:rsidDel="00000000">
              <w:rPr>
                <w:i w:val="1"/>
                <w:rtl w:val="0"/>
              </w:rPr>
              <w:t xml:space="preserve">fiche</w:t>
            </w:r>
            <w:r w:rsidR="00000000" w:rsidRPr="00000000" w:rsidDel="00000000">
              <w:rPr>
                <w:rtl w:val="0"/>
              </w:rPr>
              <w:t xml:space="preserve"> (Eiropas Komisijas darba dokuments snieguma, uzraudzības un izvērtēšanas veikšanai Eiropas Reģionālās attīstības fonda, Kohēzijas fonda un Taisnīgas pārkārtošanās fonda investīcijām 2021.-2027.gadam) noteiktajam, jo minēto rādītāju sasniegšanas progress būs jāziņo Eiropas Komisijas atbilstoši minētajā dokumentā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https://ec.europa.eu/regional_policy/en/information/publications/evaluations-guidance-documents/2021/performance-monitoring-and-evaluation-of-the-european-regional-development-fund-the-cohesion-fund-and-the-just-transition-fund-in-2021-2027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informācijas izsekojamībai papildināt anotāciju arī ar informāciju par finansējuma sadalījumu pa finansējuma veida kodiem, ņemot vērā, ka Eiropas Savienības kohēzijas politikas programmas 2021.-2027.gadam papildinājumā 2.1.1.1.pasākumam plānota dažādu finansējuma veida kodu 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(Irma Bondare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16.09.2024. 18.42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16.09.2024. 18.42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