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24. februāra noteikumos Nr. 108 "Kārtība, kādā uzrauga un izvērtē Eiropas Savienības struktūrfondu un Kohēzijas fonda ieviešanu, kā arī izveido un izmanto Kohēzijas politikas fondu vadības informācijas sistēmu 2014.–2020.gadam"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29.10.2024. 19.31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29.10.2024. 19.31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Atzinumi_24-TA-1924.docx</dc:title>
</cp:coreProperties>
</file>

<file path=docProps/custom.xml><?xml version="1.0" encoding="utf-8"?>
<Properties xmlns="http://schemas.openxmlformats.org/officeDocument/2006/custom-properties" xmlns:vt="http://schemas.openxmlformats.org/officeDocument/2006/docPropsVTypes"/>
</file>