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iznākuma rādītājs – bērni vecumā līdz 18 gadiem, kas saņēmuši atbalstu – 4550;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4.3.6. SAM rādītāju metodoloģijas aprakstā norādīto informāciju iznākuma rādītājam noteiktā starpposma vērtība uz 31.12.2024. ir 1400. Lūdzam izvērtēt un attiecīgi papildināt MK noteikumu projektu, norādot arī līdz 2024. gada 31. decembrim sasniedzamo rādītāja 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ar sadarbības partneriem slēdz sadarbības līgumu, kurā iekļauj informāciju saskaņā ar normatīvajos aktos par kārtību, kādā Eiropas Savienības fondu vadībā iesaistītās institūcijas nodrošina šo fondu ieviešanu 2021. – 2027. gada plānošanas periodā noteikto, un papildus iekļauj vismaz šādu informāciju par sadarbības partneru pienākumiem: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visiem 22 noteikumu projekta 13. punktā minētajiem sadarbības līgumiem jābūt noslēgtiem līdz projekta iesnieguma iesniegšanai.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ar datu apmaiņas rīka un digitālo risinājumu izstrādi saistītie ieguldījumi plānoti publiskās pārvaldes īpašumā esošajos digitālajos risinājumos, t.sk. īpašumā atrodas pirmkodi, intelektuālā īpašuma tiesības, kā arī risinājuma modificēšanas/pielāgošanas tiesības, lai novērstu gadījumus, kad tiek kropļota konkurence, veicot publiskus ieguldījumus kāda konkrēta komersanta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ES fondu līdzekļiem nav attiecināmi publiski ieguldījumi digitālo risinājumu veidošanā, kas atrodas komersanta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izmēģinājumprojekta psihosociālā atbalsta sniegšanai īstenošana un tā rezultātu efektivitātes novērtēšana;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MK noteikumu projekta 14.1.2. apakšpunktā minētās darbības ietvaros ir paredzēta arī izmēģinājumprojekta rezultātu izplatīšana, atbilstoši anotācijā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pārējās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izmaksu pozīcijas, kas ietilpsts zem noteikumu projekta 15.2. apakšpunktā minētajām "pārējās atiecināmās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 15.1. apakšpunktā minētās tiešās attiecināmās personāla izmaksas ietver finansējuma saņēmēja projekta vadības un īstenošanas personāla atlīdzības izmaksas, tai skaitā veselības apdrošināšanas izmaksas un redzes korekcijas līdzekļu kompensācijas izmaksas, izņemot virsstundas. Ja personāla iesaiste projektā ir nodrošināta saskaņā ar daļlaika izmaksu attiecināmības principu, attiecināma ir ne mazāka kā 30 procentu noslodze. Ja personāls ir nodarbināts nepilnu darba laiku, atlīdzības izmaksas nosakāmas atbilstoši nepilnā darba laika noslodzei. Personāla atlīdzības izmaksām jābūt atbilstošām finansējuma saņēmēja iestādes atlīdzības sistēmā noteiktajai samaksai par līdzvērtīga darba veikšanu vai atbilstošām vidējai darba samaksai pēc Latvijas Republikas Centrālās statistikas pārvaldes datiem par līdzvērtīgu darbu attiecīgajā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 vadlīniju Nr. 1.1. "Vadlīnijas par vienkāršoto izmaksu izmantošanas iespējām un to piemērošana Eiropas Savienības kohēzijas politikas programmas 2021.–2027.gadam ietvaros" 53.punktā minēto, ka vienoto likmi 40 % apmērā var piemērot arī tiešajām attiecināmajām personāla izmaksām, ja tās tiek aprēķinātas, izmantojot vienu vienību ar nosacījumu, ka vienas vienības aprēķins ietver tikai atlīdzības izmaksas, lūdzam izvērtēt iespēju izstrādāt vienības izmaksu standarta likmes metodiku personāla atlīdzības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15.2. apakšpunktā minētās pārējās attiecināmās izmaksas finansējuma saņēmējs saskaņā ar Eiropas Parlamenta un Padomes regulas (ES) Nr.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 1060) 56. panta 1. punktu plāno kā vienu izmaksu pozīciju 40 procentu apmērā no šo noteikumu 15.1. apakšpunktā minētajām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VI vadlīniju Nr. 1.1. "Vadlīnijas par vienkāršoto izmaksu izmantošanas iespējām un to piemērošana Eiropas Savienības kohēzijas politikas programmas 2021.–2027.gadam ietvaros" 50.punktā noteiktajam, AI, paredzot piemērot šo vienotās likmes veidu un apjomu SAM pasākuma ietvaros, saskaņo šo pieeju ar VI MK noteikumu par SAM īstenošanu izstrādes procesā, bet konkrētā izmaksu vienotā likme pēc saskaņošanas ar VI, tiek noteikta MK noteikumos par SAM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saskaņot vienotās likmes apmēru ar VI, kā arī norādīt šo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Pasākuma ietvaros šo noteikumu 14. punktā minēto atbalstāmo darbību izmaksu veikšanai sadarbības iestāde finansējuma saņēmējam veic avansa un starpposma maksājumus atbilstoši normatīvajiem aktiem par valsts budžeta līdzekļu plānošanas kārtību Eiropas Savienības fondu projektu īstenošanai un maksājumu veikšanai 2021.-2027. gada plānošanas periodā, nodrošinot avansa un starpposma maksājumu kopsummu 100 procentu apmērā no projekta apstiprinātā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19.punktu, nosakot, ka pieejamais avansa maksājumu maksimālais apjoms ir 30 procenti no projekta kopējā attiecināmā finansējuma, atbilstoši anotācijā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Pasākuma ietvaros šo noteikumu 14. punktā minēto atbalstāmo darbību izmaksu veikšanai sadarbības iestāde finansējuma saņēmējam veic avansa un starpposma maksājumus atbilstoši normatīvajiem aktiem par valsts budžeta līdzekļu plānošanas kārtību Eiropas Savienības fondu projektu īstenošanai un maksājumu veikšanai 2021.-2027. gada plānošanas periodā, nodrošinot avansa un starpposma maksājumu kopsummu 100 procentu apmērā no projekta apstiprinātā kopējā attiecināmā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izvērstu skaidrojumu, pamatojot avansa un starpposma maksājuma kopsummas 100% apmēra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19. punktā minētos starpposma maksājumus sadarbības iestāde veic arī laikposmā, kad finansējuma saņēmējs izmanto saņemtā avansa maksājumu.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noteikuma projekta 20. punktu. Skaidrojam, ka saskaņā ar MK noteikumiem "Valsts budžeta līdzekļu plānošanas kārtība Eiropas Savienības fondu projektu īstenošanai un maksājumu veikšanai 2021.-2027.gada plānošanas periodā." (šobrīd izstrādes stadijā) 8.2.apakšpunktu starpposma maksājumu veic, pamatojoties uz projektā veiktajiem izdevumiem, tai skaitā, avansa maksājumiem saskaņā ar pakalpojumu, preču piegādes vai būvdarbu līgumu.  Tāpat minēto noteikumu 26.punktā paredzēts, ka ja finansējuma saņēmējam ir piešķirts avansa maksājums projekta īstenošanai, finansējuma saņēmējs iesniedz sadarbības iestādē maksājuma pieprasījumu piešķirtā avansa maksājuma apmērā sešu mēnešu laikā pēc avansa maksājuma saņemšanas, ja vien normatīvajā aktā par specifiskā atbalsta mērķa īstenošanu nav noteikts garāks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nevar veidoties situācija, ka tiek izmaksāts starpposms, pirms tiek izlietots avansa maksājumu un finansējuma saņēmējs par to sniedzis informāciju sadarbības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finansējuma saņēmēja izvēlēts pakalpojuma sniedzējs: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 notiks noteikumu projekta 23.2., 24.2. apakšpunktā un 25., 27. punktā minētā pakalpojuma sniedzēja izvēle. Nepieciešamības gadījumā papildināt noteikumu projektu ar atbilstošu regulējumu un anotāciju ar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sniedz konsultatīvu atbalstu bērnu slimnīcas pārstāvjiem un sadarbības partneriem par šo noteikumu 25.1. apakšpunktā minētā elektroniskā datu apmaiņas rīka izmantošanu un nepieciešamās informācijas ievadi tajā.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25.2. apakšpunktu, nosakot, ka konsultatīvais atbalsts tiek sniegts bērnu slimnīcas un pašvaldību psihosociālā atbalsta sniegšanā iesaistītajiem speciālistiem.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14.1.4. apakšpunktā minētās atbalstāmās darbības īstenošanā: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ievērot konsekvenci ar noteikumu projekta 23.–25. punktu, kā arī nodrošināt nepārprotamību, lūdzam papildināt noteikumu projekta 26.punktu ar informāciju par to, kas īsteno 14.1.4. apakšpunktā minētās abalstāmās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savā tīmekļa vietnē ievieto aktuālu informāciju par projekta īstenošanu un, ja nepieciešams, aktualizē 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komunikācijas un dizaina vadlīnijās, lūdzam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savā tīmekļa vietnē un sociālajos tīklos  ievieto informāciju par projekta īstenošanu un aktualizē to, tiklīdz pieejama aktuālākā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"Risinājuma apraksts" 2. punktu ar pilnu informāciju par dalījumu pa intervences kategorijām (Intervences laukums, Finansējuma veids, Teritoriālie sasniegšanas mehānismi, ESF+ sekundārās tēmas un Dzimumu līdztiesība), norādot intervences kodus un tam piemērojamo pasākuma fondu finansējuma apjomu, atbilstoši Programmā un tā papildinājumā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informāciju par kārtību, kādā finansējuma saņēmējs ziņo par noteikumu projekta 4.2.apakšpunktā norādīto nacionālo rādītāju un vai tā uzkrāšana paredzēta Kohēzijas politikas fondu vadības informācijas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punkta "Pašreizējā situācija, problēmas un risinājumi" sadaļā "Risinājuma apraksts" ietverto informāciju par sadarbības partneriem papildināt ar skaidrojumu, vai līdz projekta iesnieguma iesniegšanas brīdim ir jābūt piesaistītiem visiem 22 sadarbības partneriem, t. i., vai jābūt noslēgtiem sadarbības līgumiem (skatīt iebildumu pie noteikumu projekta 13. 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apakšsadaļā "Risinājuma apraksts" skaidrot, kā tiks uzskaitītas iznākuma rādītājā noteiktās personas, ņemot vērā, ka atbilstoši 4.3.6. SAM rādītāju metodoloģijas apraksta 3. zemsvītras atsaucē minētajam 4.3.6.3. pasākumā netiks uzskaitītas unikālas personas, savukārt saskaņā ar EK vadlīniju (Common indicators toolbox) projekta 3.4.2.punktā norādīto informāciju rādītājā (tas ir viens no ESF+ kopējiem iznākuma rādītājiem (identifikācijas Nr. EECO06)) tiek uzskaitītas unikālās personas, t.i., ja dalībnieks projektā piedalās vairākas reizes, dati par viņu jāziņo tikai vienu reizi.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apakšsadaļā "Risinājuma apraksts" papildināt 1.punktā minēto mērķa grupas aprakstu pēc teikuma daļas "</w:t>
            </w:r>
            <w:r w:rsidR="00000000" w:rsidRPr="00000000" w:rsidDel="00000000">
              <w:rPr>
                <w:i w:val="1"/>
                <w:rtl w:val="0"/>
              </w:rPr>
              <w:t xml:space="preserve">kas saslimšanas brīdī nonāk bērnu slimnīcas stacionārā vai regulārā ambulatorā uzraudzībā</w:t>
            </w:r>
            <w:r w:rsidR="00000000" w:rsidRPr="00000000" w:rsidDel="00000000">
              <w:rPr>
                <w:rtl w:val="0"/>
              </w:rPr>
              <w:t xml:space="preserve">" ar teikuma daļu "</w:t>
            </w:r>
            <w:r w:rsidR="00000000" w:rsidRPr="00000000" w:rsidDel="00000000">
              <w:rPr>
                <w:i w:val="1"/>
                <w:rtl w:val="0"/>
              </w:rPr>
              <w:t xml:space="preserve">un kuriem ir nepieciešams psihosociāls atbalsts</w:t>
            </w:r>
            <w:r w:rsidR="00000000" w:rsidRPr="00000000" w:rsidDel="00000000">
              <w:rPr>
                <w:rtl w:val="0"/>
              </w:rPr>
              <w:t xml:space="preserve">", tādējādi salāgojot redakciju ar MK noteikumu projekta 3.1.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"Tiesību akta projekta ietekme uz valsts budžetu un pašvaldību budžetiem" 6 punktā precizēt 4.3.6.3. pasākuma plānoto ieviešanas datumu no 2022. gada 1. ceturkšņa uz 2021. gada 4. ceturksni.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finansējuma saņēmējs uzņemas segt sadārdzinājumu, ja tāds radīsies.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nacionālais iznākuma rādītājs – izveidots un aprobēts mehānisms psihosociālā atbalsta sniegšanai –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4.2.apakšpunktā minēto rādītāju definēt kā "nacionālo rādītāju", dzēšot vārdu "iznākuma".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pieejamais kopējais attiecināmais finansējums ir 4 350 000 </w:t>
            </w:r>
            <w:r w:rsidR="00000000" w:rsidRPr="00000000" w:rsidDel="00000000">
              <w:rPr>
                <w:i w:val="1"/>
                <w:rtl w:val="0"/>
              </w:rPr>
              <w:t xml:space="preserve">euro</w:t>
            </w:r>
            <w:r w:rsidR="00000000" w:rsidRPr="00000000" w:rsidDel="00000000">
              <w:rPr>
                <w:rtl w:val="0"/>
              </w:rPr>
              <w:t xml:space="preserve">, tai skaitā Eiropas Sociālā fonda Plus finansējums – 3 697 500 </w:t>
            </w:r>
            <w:r w:rsidR="00000000" w:rsidRPr="00000000" w:rsidDel="00000000">
              <w:rPr>
                <w:i w:val="1"/>
                <w:rtl w:val="0"/>
              </w:rPr>
              <w:t xml:space="preserve">euro</w:t>
            </w:r>
            <w:r w:rsidR="00000000" w:rsidRPr="00000000" w:rsidDel="00000000">
              <w:rPr>
                <w:rtl w:val="0"/>
              </w:rPr>
              <w:t xml:space="preserve"> un valsts budžeta finansējums – 652 500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pasākumam nav plānots elastības finansējums, ierosinām izteikt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Pasākumam </w:t>
            </w:r>
            <w:r w:rsidR="00000000" w:rsidRPr="00000000" w:rsidDel="00000000">
              <w:rPr>
                <w:b w:val="1"/>
                <w:rtl w:val="0"/>
              </w:rPr>
              <w:t xml:space="preserve">plānotais un</w:t>
            </w:r>
            <w:r w:rsidR="00000000" w:rsidRPr="00000000" w:rsidDel="00000000">
              <w:rPr>
                <w:rtl w:val="0"/>
              </w:rPr>
              <w:t xml:space="preserve"> pieejamais kopējais attiecināmais finansējums ir 4 350 000 euro, tai skaitā Eiropas Sociālā fonda Plus finansējums – 3 697 500 euro un valsts budžeta finansējums – 652 500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ar sadarbības partneriem slēdz sadarbības līgumu, kurā iekļauj informāciju saskaņā ar normatīvajos aktos par kārtību, kādā Eiropas Savienības fondu vadībā iesaistītās institūcijas nodrošina šo fondu ieviešanu 2021. – 2027. gada plānošanas periodā noteikto, un papildus iekļauj vismaz šādu informāciju par sadarbības partneru pienākumiem: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minētajam, sadarbības līgumā paredzēts atrunāt nosacījumus datu apmaiņai starp bērnu slimnīcas informācijas sistēmām un SOPA, izmantojot izstrādātā elektronisko datu apmaiņas rīka funkcionalitāti. Lūdzam izvērtēt vai attiecīgi nevajadzētu papildināt MK noteikumu projekta 13. punktu ar iepriekš minēto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iesniegt bērnu slimnīcai pašvaldību sociālās palīdzības un sociālo pakalpojumu administrēšanas lietojumprogrammas SOPA auditācijas pierakstus par rekomendēto atbalsta pasākumu izpildi šo noteikumu 3. punktā minēto mērķa grupu personām, ievērojot normatīvajos aktos par kārtību, kādā tiek nodrošināta informācijas un komunikācijas tehnoloģiju sistēmu atbilstība minimālajām drošības prasībām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nepieciešamības gadījumā precizēt noteikumu projekta 13.3.apakšpunktā vārdus "bērnu slimnīcai" uz vārdiem "finansējuma saņēmējam" , lai ir nepārprotami skaidrs, kam nepieciešams iesniegt apakšpunktā minēto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ietvaros plāno šādas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MK noteikumu projekta 15.punktu. Papildus aicinām šo precizējumu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ietvaros plāno šādas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šo noteikumu 14.1. apakšpunktā minētās atbalstāmās darbības īstenošanu pārvalda Labklājības ministrijas izveidota Invaliditātes lietu nacionālā padome (turpmāk – padome). Atbildīgās iestādes, finansējuma saņēmēja un vadošās iestādes pārstāvji padomes darbībā var piedalīties novērotāja statusā.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Vadošās iestādes pārstāvjus no iespējamo novērotāju saraksta Labklājības ministrijas izveidotajā Invaliditātes lietu nacionālā padomē vai skaidrot, kāda būs Vadošās iestādes ietekme kā novērotājam minētajā padomē.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23.2.1. izstrādā šo noteikumu 23.1. apakšpunktā minētās rokasgrāmatas digitālo versiju un, ja nepieciešams, aktualizē 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MK noteikumu projekta 23.2.1. apakšpunktu ar nosacījumu par rokasgrāmatas digitālās versijas ievietošanu bērnu slimnīcas portālā www.veselapasaule.lv, atbilstoši anotācijā norādītajai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24.1.4. nodrošina personas datu nodošanu psihosociālā atbalsta sniegšanā iesaistītajām institūcijām saskaņā ar personas datu aizsardzības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plānota personas datu apstrāde, aicinām projektu saskaņot ar Datu valsts inspekciju (turpmāk - DVI), saskaņā ar DVI 2023.gada  3.februāra vēstuli Nr.7-4.2/19-N "Par tiesību aktu projektu saskaņošanu".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nodrošina, ka informācijas apmaiņu starp bērnu slimnīcas informācijas sistēmām un šo noteikumu 13.3. apakšpunktā minēto lietojumprogrammu par šo noteikumu 3. punktā minētajām mērķa grupām nepieciešamo un saņemto atbalstu veic, izmantojot šo noteikumu 25.1. apakšpunktā minēto elektronisko datu apmaiņas rīku;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29.1. apakšpunktā, kas ir saprotams ar “bērnu slimnīcas informācijas sistēmām” , vai tās ir finansējuma saņēmēja informācijas sistēmas? Nepieciešamības gadījumā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nodrošina informācijas un publicitātes, kā arī vizuālās identitātes pasākumus, kas noteikti Regulā Nr. 2021/1060, normatīvajos aktos par kārtību, kādā Eiropas Savienības fondu vadībā iesaistītās institūcijas nodrošina šo fondu ieviešanu 2021. – 2027. gada plānošanas periodā un Eiropas Savienības fondu 2021. – 2027. gada plānošanas perioda un Atveseļošanas fonda komunikācijas un dizaina vadlīnijās;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30.2. apakšpunktu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Parlamenta un Padomes 2021. gada 24. jūnija Regulas (ES) Nr. 2021/1060 47. pantu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nodrošina informācijas un publicitātes, kā arī vizuālās identitātes pasākumus, kas noteikti Regulā Nr. 2021/1060, normatīvajos aktos par kārtību, kādā Eiropas Savienības fondu vadībā iesaistītās institūcijas nodrošina šo fondu ieviešanu 2021. – 2027. gada plānošanas periodā un Eiropas Savienības fondu 2021. – 2027. gada plānošanas perioda un Atveseļošanas fonda komunikācijas un dizaina vadlīnijās;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atbilstoši minētajām vadlīnijām noteikumu projektā nebūtu jāiekļauj prasība, ka arī sadarbības partnerim (tāpat kā finansējuma saņēmējam) ir jāievieto informācija par projektu savā tīmekļa vietnē un sociālajos tīklos (ja tādi ir) un jāaktualizē, tiklīdz pieejama aktuālākā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30.7. uzkrāj datus par šādiem horizontālā principa “Vienlīdzība, iekļaušana, nediskriminācija un pamattiesību ievērošana”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uz 4.3.6.3. pasākumu nav attiecināms arī radītājs - VINP04 </w:t>
            </w:r>
            <w:r w:rsidR="00000000" w:rsidRPr="00000000" w:rsidDel="00000000">
              <w:rPr>
                <w:i w:val="1"/>
                <w:rtl w:val="0"/>
              </w:rPr>
              <w:t xml:space="preserve">Atbalstu saņēmušās sociālās atstumtības un nabadzības riskam pakļautās personas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Pasākuma ietvaros projektu īsteno saskaņā ar līguma par projekta īstenošanu, bet ne ilgāk kā līdz 2027. 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projekta īstenošanas termiņu ar noteikumu projekta 4. punktu , ņemot vērā, ka noteikumu projekta 4. punktā ir noteikts, ka rādītāji sasniedzami līdz 2029. gada 31. decembrim.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vienošanās par projekta īstenošanu vienpusēja uzteikuma nosacījumus. Papildus lūdzam norādīt, ka šie nosacījumi tiks iekļauti vienošanās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anotācijas 1.3. punkta "Pašreizējā situācija, problēmas un risinājumi" sadaļā "Risinājuma apraksts" norādītās darbību indikatīvās izmaksas, ņemot vērā, ka faktiski projekta iesniegumā tiks uzrādītas tikai tiešās attiecināmās personāla izmaksas, savukārt pārējās attiecināmās izmaksas tiek noteiktas kā vienotā likume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informāciju par plānoto projekta iesniegumu šīs summas tika ņemtas vērā, jo to paredzēja informatīvais ziņojums, taču šobrīd, veicot projekta iesnieguma vērtēšanu, un pēcāk arī projekta uzraudzības laikā pārliecināties par faktisko izmaksu samērību ar indikatīvajām izmaksām nebūs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apakšsadaļu "Risinājuma apraksts" papildināt ar 4.3.6.3.pasākuma mērķa aprakstu (MK noteikumu projekta 2.punkts).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"Nevalstiskās organizācijas". Lūdzam papildināt anotāciju ar informāciju par biedrību un nodibinājumu iesaisti, nevalstisko organizāciju  iesaisti MK noteikumu projekta izstrādē, lai nodrošinātu atbilstību Ministru prezidenta rezolūcijā* noteiktajam vai skaidrot, kāpēc iesaiste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Ministru prezidenta 2021. gada 7. septembra rezolūciju Nr. 2021-1.1.1./50-50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projekts neskar anotācijas 8.1.2. apakšsadaļā "uz valsts un pašvaldību informācijas un komunikācijas tehnoloģiju attīstību" minēto jomu un attiecīgi papildināt aprakstu, ņemot vērā, ka projekta ietvaros tiks veikta elektroniskā datu apmaiņas rīka izstrāde datu apmaiņai starp bērnu slimnīcas informācijas sistēmām un pašvaldību sociālās palīdzības un sociālo pakalpojumu administrēšanas lietojumprogrammu SOPA.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02.03.2023. 14.02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02.03.2023. 14.02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