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25-TA-1882: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Korupcijas novēršanas un apkarošanas pasākumu plāns 2026.–2027.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no Korupcijas novēršanas un apkarošanas pasākumu plāna 2026. – 2027. gadam IV. nodaļā ietvertā 1.rīcības virziena 1.8.apakšpunkta situācijas apraksta ir jāizslēdz rindkopa, kas sākas ar </w:t>
            </w:r>
            <w:r w:rsidR="00000000" w:rsidRPr="00000000" w:rsidDel="00000000">
              <w:rPr>
                <w:i w:val="1"/>
                <w:rtl w:val="0"/>
              </w:rPr>
              <w:t xml:space="preserve">Treškārt, KNAB 2024. gada stratēģiskās analīzes pētījumā par korupcijas riskiem valsts finansējuma piešķiršanas kārtībā Latvijas sporta organizācijām” noskaidrots, ka finansējuma piešķiršanas un izlietošanas kārtība Latvijas sporta organizācijām nav pietiekami caurspīdīga. Tas palielina riskus, ka finansējums netiek sadalīts atbilstoši galvenajiem sporta politikas virzieniem un izmantots godprātīgi sabiedrības interesēs. KNAB veiktā sporta federāciju 2023. gada pārskatu analīze liecina, ka 91 federācija dotācijās faktiski saņēmusi 16,4 miljonus eiro. 89 % šo federāciju nav publiskojušas vai ir tikai daļēji publiskojušas atskaites par dotāciju izlietojumu. Analīze atklāj, ka federācijas atsevišķos gadījumos daļu saņemtā valsts budžeta finansējuma mēdz neatbilstoši norādīt kā citus ieņēmumus, kā arī dotācijas no visiem saņemtajiem avotiem nav iespējams precīzi izšķirt, jo tās apkopotas vienā atskaites pozīcijā. Informācijas atklātības trūkums gada pārskatos samazina iespējas sabiedrībai gūt ieskatu par federāciju finansēšanas avotiem, kā arī apgrūtina pārskatāmību un iespēju izvērtēt kopējo finansējuma plūsmu sporta nozarē</w:t>
            </w:r>
            <w:r w:rsidR="00000000" w:rsidRPr="00000000" w:rsidDel="00000000">
              <w:rPr>
                <w:rtl w:val="0"/>
              </w:rPr>
              <w:t xml:space="preserv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KNAB 2024. gada stratēģiskās analīzes pētījumā par korupcijas riskiem valsts finansējuma piešķiršanas kārtībā Latvijas sporta organizācijām” ir ticis publicēts 2025. gada 17.jūnijā KNAB mājaslapā. Tas jau ir publiski pieejams visai sabiedrībai un ministrijas ieskatā nav nepieciešamība tā saturu atsevišķi dublēt.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Minētajam situācijas aprakstam nav saskatāms viennozīmīgs konteksts ar Korupcijas novēršanas un apkarošanas pasākumu plāna 2026.–2027. gadam IV. nodaļā ietvertā 1.rīcības virziena 1.8.apakšpunkta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Korupcijas novēršanas un apkarošanas pasākumu plāns 2026.–2027. gadam attiecināms uz visām valsts un pašvaldību iestādēm, tādēļ situācijas aprakstā iekļaut rindkopu ar informāciju kura vairo sporta nozares reputācijas negatīvo ietekmi, ministrijas ieskatā ir nevēlama un tā nav saistoša citām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Sveile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25-TA-1882</w:t>
    </w:r>
    <w:r>
      <w:br/>
    </w:r>
    <w:r w:rsidR="00000000" w:rsidRPr="00000000" w:rsidDel="00000000">
      <w:rPr>
        <w:rtl w:val="0"/>
      </w:rPr>
      <w:t xml:space="preserve">Izdrukāts 28.10.2025. 09.30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25-TA-1882</w:t>
    </w:r>
    <w:r>
      <w:br/>
    </w:r>
    <w:r w:rsidR="00000000" w:rsidRPr="00000000" w:rsidDel="00000000">
      <w:rPr>
        <w:rtl w:val="0"/>
      </w:rPr>
      <w:t xml:space="preserve">Izdrukāts 28.10.2025. 09.30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Atzinumi_25-TA-1882.docx</dc:title>
</cp:coreProperties>
</file>

<file path=docProps/custom.xml><?xml version="1.0" encoding="utf-8"?>
<Properties xmlns="http://schemas.openxmlformats.org/officeDocument/2006/custom-properties" xmlns:vt="http://schemas.openxmlformats.org/officeDocument/2006/docPropsVTypes"/>
</file>