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piesārņojumu" (Latvijas Republikas Saeimas un Ministru Kabineta Ziņotājs, 2001, 9. nr.; 2002, 16. nr.; 2004, 2. nr.; 2005, 5. nr.; 2006, 9. nr.; 2007, 21., 23. nr.; 2009, 12. nr.; Latvijas Vēstnesis, 2009, 205. nr.; 2010, 104., 206. nr.; 2011, 120. nr.; 2013, 36. nr.; 2014, 38. nr.; 2016, 123. nr.; 2018, 36., 84. nr.; 2020, 119.C, 247. nr.; 2021, 248.B nr.; 2022, 137A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skaitļa 137 (pirms A) ir liekams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grozījums likuma pārejas noteikumu 41.punktā nav nepieciešams, jo izpildes termiņš jau ir iestājies. Lūdzam to izslēgt.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71.punkts noteic, ka grozījumu likumprojekta normas raksta atbilstoši grozāmo vienību secībai likumā, kurā izdara grozījumus, ievērojot minēto lūdzam precizēt grozījumu secību likumprojekta pantos.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grozījumu redakciju juridiskās tehnikas precizējumi track change režīmā tiks nosūtīti pa epastu.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32.</w:t>
            </w:r>
            <w:r w:rsidR="00000000" w:rsidRPr="00000000" w:rsidDel="00000000">
              <w:rPr>
                <w:vertAlign w:val="superscript"/>
                <w:rtl w:val="0"/>
              </w:rPr>
              <w:t xml:space="preserve">2</w:t>
            </w:r>
            <w:r w:rsidR="00000000" w:rsidRPr="00000000" w:rsidDel="00000000">
              <w:rPr>
                <w:rtl w:val="0"/>
              </w:rPr>
              <w:t xml:space="preserve"> panta 4</w:t>
            </w:r>
            <w:r w:rsidR="00000000" w:rsidRPr="00000000" w:rsidDel="00000000">
              <w:rPr>
                <w:vertAlign w:val="superscript"/>
                <w:rtl w:val="0"/>
              </w:rPr>
              <w:t xml:space="preserve">4</w:t>
            </w:r>
            <w:r w:rsidR="00000000" w:rsidRPr="00000000" w:rsidDel="00000000">
              <w:rPr>
                <w:rtl w:val="0"/>
              </w:rPr>
              <w:t xml:space="preserve"> daļas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dalībai Eiropas Savienības emisijas kvotu tirdzniecības sistēmā,  emisijas kvotu izsolīšanas procesa nodrošināšanas administratīvo izmaksu segšanai, kā arī Klimata un enerģētikas ministrijas administratīvās darbības nodrošināšanas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panta prim daļu pierakstu likumprojektā un anotācijā - 4.</w:t>
            </w:r>
            <w:r w:rsidR="00000000" w:rsidRPr="00000000" w:rsidDel="00000000">
              <w:rPr>
                <w:vertAlign w:val="superscript"/>
                <w:rtl w:val="0"/>
              </w:rPr>
              <w:t xml:space="preserve">4</w:t>
            </w:r>
            <w:r w:rsidR="00000000" w:rsidRPr="00000000" w:rsidDel="00000000">
              <w:rPr>
                <w:rtl w:val="0"/>
              </w:rPr>
              <w:t xml:space="preserve"> daļa (starp daļas skaitli un prim liek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2022. gada 15. novembra rīkojumā Nr. 808 "Par Pārresoru koordinācijas centra likvidāciju" noteikto, lūdzam vērtēt vai jāparedz, ka darba grupā iekļauj Pārresoru koordinācijas centra pārstāvi iespējams uzreiz var rakstīt Valsts kancelejas (būtu noskaidrojams Pārresoru koordinācijas centra vai Valsts kancelejas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likums stāsies spēkā vienlaikus ar likumu "Par valsts budžetu 2023.gadam", tāpēc aicinām precizēt spēkā stāšanās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būs nepieciešamas izmaiņas arī likumprojekta grozījumos minētās padomes un darba grupas personālsastāva rīkojumā un padomes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23-TA-44</w:t>
    </w:r>
    <w:r>
      <w:br/>
    </w:r>
    <w:r w:rsidR="00000000" w:rsidRPr="00000000" w:rsidDel="00000000">
      <w:rPr>
        <w:rtl w:val="0"/>
      </w:rPr>
      <w:t xml:space="preserve">Izdrukāts 25.01.2023.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23-TA-44</w:t>
    </w:r>
    <w:r>
      <w:br/>
    </w:r>
    <w:r w:rsidR="00000000" w:rsidRPr="00000000" w:rsidDel="00000000">
      <w:rPr>
        <w:rtl w:val="0"/>
      </w:rPr>
      <w:t xml:space="preserve">Izdrukāts 25.01.2023.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Atzinumi_23-TA-44.docx</dc:title>
</cp:coreProperties>
</file>

<file path=docProps/custom.xml><?xml version="1.0" encoding="utf-8"?>
<Properties xmlns="http://schemas.openxmlformats.org/officeDocument/2006/custom-properties" xmlns:vt="http://schemas.openxmlformats.org/officeDocument/2006/docPropsVTypes"/>
</file>