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377 "Noteikumi par garantiju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Pagaidu regulējums paredz pagarināt atbalsta sniegšanu par gadu, nosakot, ka garantiju piešķir vēlākais līdz 2023.gada 31.decembrim - attiecīgi tiek aktualizēts MK Noteikumu Nr.377 25. punkts, pagarinot atbalsta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sniegšanas termiņa pagarināšana tieši ietekmē pasākuma finansējuma izlietojumu (sadalījumu) gadu griezumā, lūdzam papildināt anotācijas 3.sadaļas punktu "cita informācija" ar aktualizēto provizorisko ietekmi uz vispārējās valdības budžeta bilanci 2022. un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21. jūnija noteikumos Nr. 377 "Noteikumi par garantiju programmu pret Ukrainu vērstās Krievijas militārās agresijas radīto ekonomisko seku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termiņa pagarināšana, paredzot tās īstenošanu arī 2023.gadā, rada papildu ietekmi uz vispārējās valdības budžeta izdevumiem atbilstoši Eiropas Kontu sistēmas metodoloģijai, kas attiecīgi samazina Ministru kabinetam pieejamos budžeta resursus prioritāto pasākumu finansēšanai (t.i. fiskālo telpu).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jautājums par iespējām paredzēt papildu vispārējās valdības budžeta izdevumus atbalsta pasākuma nodrošināšanai 2023.gadā ir skatāms likumprojekta "Par valsts budžetu 2023. gadam un budžeta ietvaru 2023., 2024. un 2025. gadam" sagatavošanas un izskatīšanas procesā, ievērojot budžeta fiskālās iespējas. Attiecīgi grozījumi Ministru kabineta 2022. gada 21. jūnija noteikumos Nr. 377 "Noteikumi par garantiju programmu pret Ukrainu vērstās Krievijas militārās agresijas radīto ekonomisko seku mazināšanai" par darbības termiņa pagarināšanu ir virzāmi izskatīšanai Ministru kabinetā pēc tam, kad Ministru kabinets ir atbalstījis jautājumu par atbalsta pasākuma papildu izdevumiem 2023.gadam budžeta prioritāšu izvērtēšanas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11. punktā minēto kopējo garantijas summu atbilstoši saimnieciskās darbības veicēja sniegtajam apliecinājumam var palielināt, lai segtu likviditātes vajadzības, no atbalsta piešķiršanas brīža turpmākajiem 12 mēnešiem sīkajam (mikro), mazajam un vidējam saimnieciskās darbības veicējam un turpmākajiem sešiem mēnešiem lielajam saimnieciskās darbības veicējam, nepārsniedzot šo noteikumu 10. punktā minēto maksimālo aizdevuma summu vienam saimnieciskās darbības veicējam. Ja lielajam saimnieciskās darbības veicējam sniedz finanšu nodrošinājumu tirdzniecības darbībām enerģijas tirgos, garantijas summu var palielināt, lai segtu likviditātes vajadzības, kas izriet no šīm darbībām nākamajos 12 mēnešos. Likviditātes vajadzības, kas segtas atbilstoši normatīvajiem aktiem, ar kuriem tika ieviestas Covid-19 atbalsta programmas, nevar finansēt atkārtoti atbilstoši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attiecībā uz lielo saimnieciskās darbības veicēju jāievēro šo noteikumu 10.punktā minētais ierobežojums, līdz ar to aicinām sasaistīt teikumu "Ja lielajam saimnieciskās darbības veicējam sniedz finanšu nodrošinājumu tirdzniecības darbībām enerģijas tirgos, garantijas summu var palielināt, lai segtu likviditātes vajadzības, kas izriet no šīm darbībām nākamajos 12 mēnešos." ar attiecīgo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Garantijas prēmija un valsts atbalsta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grozījumus atbilstoši Eiropas Komisijas 2022.gada 28.oktobra paziņojumam “Krīzes pagaidu regulējums valsts atbalsta pasākumiem, ar ko atbalsta ekonomiku pēc Krievijas agresijas pret Ukrainu” (C(2022) 7945 final) (turpmāk - EK paziņojums), lūdzam papildināt tos ar skaidrojumu, kas izriet no EK paziņojuma 84. punkta pirmā teikuma: "Kopumā atbalsts, kas piešķirts saskaņā ar iepriekšējā krīzes pagaidu regulējuma 2.1.–2.3. iedaļu, un atbalsts, kuru piešķir saskaņā ar tām pašām attiecīgajām šā paziņojuma iedaļām, nevienā brīdī nedrīkst pārsniegt šā paziņojuma attiecīgajās iedaļās noteikto atbalsta maksimālo apjomu.". Atbilstoši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Komisijas 2022.gada 28.oktobra paziņojums “</w:t>
            </w:r>
            <w:r w:rsidR="00000000" w:rsidRPr="00000000" w:rsidDel="00000000">
              <w:rPr>
                <w:i w:val="1"/>
                <w:rtl w:val="0"/>
              </w:rPr>
              <w:t xml:space="preserve">Krīzes pagaidu regulējums valsts atbalsta pasākumiem, ar ko atbalsta ekonomiku pēc Krievijas agresijas pret Ukrainu</w:t>
            </w:r>
            <w:r w:rsidR="00000000" w:rsidRPr="00000000" w:rsidDel="00000000">
              <w:rPr>
                <w:rtl w:val="0"/>
              </w:rPr>
              <w:t xml:space="preserve">”  aizstāj Eiropas Komisijas 2022.gada 23.marta paziņojumu “</w:t>
            </w:r>
            <w:r w:rsidR="00000000" w:rsidRPr="00000000" w:rsidDel="00000000">
              <w:rPr>
                <w:i w:val="1"/>
                <w:rtl w:val="0"/>
              </w:rPr>
              <w:t xml:space="preserve">Krīzes pagaidu regulējums valsts atbalsta pasākumiem, ar ko atbalsta ekonomiku pēc Krievijas agresijas pret Ukrainu</w:t>
            </w:r>
            <w:r w:rsidR="00000000" w:rsidRPr="00000000" w:rsidDel="00000000">
              <w:rPr>
                <w:rtl w:val="0"/>
              </w:rPr>
              <w:t xml:space="preserve">”, nevis ir EK paziņojuma grozījumi, aicinām pārskatīt un redakcionāli precizēt informāciju anotācijā, jo šobrīd atsaucaties uz to kā uz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Pagaidu regulējums nesatur 61.punkta iii) apakšpunktu. Lūdzam precizēt 1.tabulā iekļauto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29.11.2022.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29.11.2022.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Atzinumi_22-TA-3304.docx</dc:title>
</cp:coreProperties>
</file>

<file path=docProps/custom.xml><?xml version="1.0" encoding="utf-8"?>
<Properties xmlns="http://schemas.openxmlformats.org/officeDocument/2006/custom-properties" xmlns:vt="http://schemas.openxmlformats.org/officeDocument/2006/docPropsVTypes"/>
</file>