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24.10.3. programma tiek īstenota atbilstoši starpvalstu vienošanās, starpvaldību līgumam vai Eiropas Savienības institūciju pieņemtam starptautiska līmeņa finansēšanas lēmumam;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skaidrot anotācijā, kas noteikumu 24.10.3. apakšpunktā domāts ar Eiropas Savienības institūciju pieņemtu </w:t>
            </w:r>
            <w:r w:rsidR="00000000" w:rsidRPr="00000000" w:rsidDel="00000000">
              <w:rPr>
                <w:u w:val="single"/>
                <w:rtl w:val="0"/>
              </w:rPr>
              <w:t xml:space="preserve">starptautiska līmeņa</w:t>
            </w:r>
            <w:r w:rsidR="00000000" w:rsidRPr="00000000" w:rsidDel="00000000">
              <w:rPr>
                <w:rtl w:val="0"/>
              </w:rPr>
              <w:t xml:space="preserve"> finansēšanas lēmumu, ja nepieciešams, sniedzot konkrētus piemērus. Aicinām izvērtēt vārdu "starptautiska līmeņa" nepieciešamību un vai nu precizēt redakciju, vai sniegt skaidrojumu.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aicinām izmantot likumā "Par Latvijas Republikas starptautiskajiem līgumiem" lietoto terminoloģiju un norādi uz starpvalstu vienošanos aizstāt ar norādi uz starpvalstu līgumu.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15.01.2026.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15.01.2026.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