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precīzi atsaukties uz Ministru kabineta sēdes protokollēmumu, ar kuru apstiprināts 2022. gada 16. augusta informatīvais ziņojums “Par Eiropas Savienības Atveseļošanas un noturības mehānisma plāna 4. komponentes “Veselība” 4.3. reformu un investīciju virziena “Veselības aprūpes ilgtspēja, pārvaldības stiprināšana, efektīva veselības aprūpes resursu izlietošana”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 Proti, precīzi pierakstīt Ministru kabineta 2022. gada 16. augusta sēdes protokolu Nr. 40 29. § (šobrīd norādīts "[..] </w:t>
            </w:r>
            <w:r w:rsidR="00000000" w:rsidRPr="00000000" w:rsidDel="00000000">
              <w:rPr>
                <w:i w:val="1"/>
                <w:rtl w:val="0"/>
              </w:rPr>
              <w:t xml:space="preserve">Ministru kabineta protokollēmumā, ar ko pieņemts 2022.gada ziņojums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09.04.2025.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09.04.2025.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Atzinumi_25-TA-657.docx</dc:title>
</cp:coreProperties>
</file>

<file path=docProps/custom.xml><?xml version="1.0" encoding="utf-8"?>
<Properties xmlns="http://schemas.openxmlformats.org/officeDocument/2006/custom-properties" xmlns:vt="http://schemas.openxmlformats.org/officeDocument/2006/docPropsVTypes"/>
</file>