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24-TA-2589: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25. janvāra noteikumos Nr. 75 "Noteikumi par aktīvo nodarbinātības pasākumu un preventīvo bezdarba samazināšanas pasākumu organizēšanas un finansēšanas kārtību un pasākumu īstenotāju izvēles 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sadaļā "Risinājuma apraksts" iekļauto informāciju par noteikumu 106. punkta svītrošanu - precīzāk norādot ar kādu normatīvo aktu jānovērš informācijas pārklāšanās. Pieļaujam, ka šeit domāta pārklāšanās ar Ministru kabineta 2017. gada 28. marta noteikumos Nr. 172 “Bezdarbnieku uzskaites un reģistrēto vakanču informācijas sistēmas noteikumi”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nebūtu aizpildāma anotācijas 4.sadaļa "Tiesību akta projekta ietekme uz spēkā esošo tiesību normu sistēmu". Vienlaikus lūdzam anotācijā sniegt skaidrojumu/ izvērtējumu, vai un kā plānotās izmaiņas noteikumu 109.</w:t>
            </w:r>
            <w:r w:rsidR="00000000" w:rsidRPr="00000000" w:rsidDel="00000000">
              <w:rPr>
                <w:vertAlign w:val="superscript"/>
                <w:rtl w:val="0"/>
              </w:rPr>
              <w:t xml:space="preserve">28</w:t>
            </w:r>
            <w:r w:rsidR="00000000" w:rsidRPr="00000000" w:rsidDel="00000000">
              <w:rPr>
                <w:rtl w:val="0"/>
              </w:rPr>
              <w:t xml:space="preserve"> punktā (kas paredz ka dotāciju darba vietas pielāgošanai turpmāk varēs saņemt arī darba devēji – valsts un pašvaldību iestādes, kurās tiek nodarbinātas personas ar invaliditāti) ietekmēs Eiropas Sociālā fonda Plus (turpmāk – ESF+) Ministru kabineta noteikumus par 4.3.3.1.pasākumu un/vai citu pasākumu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vārdus "</w:t>
            </w:r>
            <w:r w:rsidR="00000000" w:rsidRPr="00000000" w:rsidDel="00000000">
              <w:rPr>
                <w:i w:val="1"/>
                <w:rtl w:val="0"/>
              </w:rPr>
              <w:t xml:space="preserve">esošā finansējuma ietvaros</w:t>
            </w:r>
            <w:r w:rsidR="00000000" w:rsidRPr="00000000" w:rsidDel="00000000">
              <w:rPr>
                <w:rtl w:val="0"/>
              </w:rPr>
              <w:t xml:space="preserve">" un "</w:t>
            </w:r>
            <w:r w:rsidR="00000000" w:rsidRPr="00000000" w:rsidDel="00000000">
              <w:rPr>
                <w:i w:val="1"/>
                <w:rtl w:val="0"/>
              </w:rPr>
              <w:t xml:space="preserve">piešķirtā finansējuma ietvaros</w:t>
            </w:r>
            <w:r w:rsidR="00000000" w:rsidRPr="00000000" w:rsidDel="00000000">
              <w:rPr>
                <w:rtl w:val="0"/>
              </w:rPr>
              <w:t xml:space="preserve">" konkrēti norādot, vai ar to tiek domāts valsts budžets, vai kāds cits finansējuma avots, piemēram, ESF+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grozījumu noteikumu projektā nebūtu svītrojama arī 167.2.punkta 2.teikuma beigu daļa  "</w:t>
            </w:r>
            <w:r w:rsidR="00000000" w:rsidRPr="00000000" w:rsidDel="00000000">
              <w:rPr>
                <w:i w:val="1"/>
                <w:rtl w:val="0"/>
              </w:rPr>
              <w:t xml:space="preserve">... ņemot vērā jauno attālumu no deklarētās dzīvesvietas līdz darbavietai</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noteikumu 192.</w:t>
            </w:r>
            <w:r w:rsidR="00000000" w:rsidRPr="00000000" w:rsidDel="00000000">
              <w:rPr>
                <w:vertAlign w:val="superscript"/>
                <w:rtl w:val="0"/>
              </w:rPr>
              <w:t xml:space="preserve">10 </w:t>
            </w:r>
            <w:r w:rsidR="00000000" w:rsidRPr="00000000" w:rsidDel="00000000">
              <w:rPr>
                <w:rtl w:val="0"/>
              </w:rPr>
              <w:t xml:space="preserve">punktā ietvertais nosacījums tā pašreizējā redakcijā ir novecojis. Skaidrojam, ka atbilstoši komunikācijai ar Tieslietu ministriju par atbilstošu spēkā esošajam Maksātnespējas likumam šī kritērija redakciju, tas būtu izsakāms, piemēram, šādā redakcijā: "[..] ja saimnieciskās darbības veicējam ir ierosināta tiesiskās aizsardzības procesa lieta, tiek īstenots tiesiskās aizsardzības process vai tam ir pasludināts maksātnespējas process, vai tas atbilst normatīvajos aktos noteiktajiem kritērijiem, lai tam pēc kreditoru pieprasījuma uzsāktu maksātnespējas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Tieslietu ministrijas sniegtajai informācijai formulējums "pasludināts maksātnespējas process" aptver arī tādus maksātnespējas stāvokļa risinājumus kā bankrots, sanācija un mierizlīgums, līdz ar to aptver arī tos maksātnespējas procesus, kas pasludināti saskaņā ar likumu "Par uzņēmumu un uzņēmējsabiedrību maksātnespēju" un Maksātnespējas likumu, kas bija spēkā līdz 2010. gada 1. novembrim”, attiecīgi aicinām izvērtēt iespēju atbilstoši precizēt MK noteikumu 192.</w:t>
            </w:r>
            <w:r w:rsidR="00000000" w:rsidRPr="00000000" w:rsidDel="00000000">
              <w:rPr>
                <w:vertAlign w:val="superscript"/>
                <w:rtl w:val="0"/>
              </w:rPr>
              <w:t xml:space="preserve">10</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24-TA-2589</w:t>
    </w:r>
    <w:r>
      <w:br/>
    </w:r>
    <w:r w:rsidR="00000000" w:rsidRPr="00000000" w:rsidDel="00000000">
      <w:rPr>
        <w:rtl w:val="0"/>
      </w:rPr>
      <w:t xml:space="preserve">Izdrukāts 13.12.2024. 15.37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24-TA-2589</w:t>
    </w:r>
    <w:r>
      <w:br/>
    </w:r>
    <w:r w:rsidR="00000000" w:rsidRPr="00000000" w:rsidDel="00000000">
      <w:rPr>
        <w:rtl w:val="0"/>
      </w:rPr>
      <w:t xml:space="preserve">Izdrukāts 13.12.2024. 15.37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Atzinumi_24-TA-2589.docx</dc:title>
</cp:coreProperties>
</file>

<file path=docProps/custom.xml><?xml version="1.0" encoding="utf-8"?>
<Properties xmlns="http://schemas.openxmlformats.org/officeDocument/2006/custom-properties" xmlns:vt="http://schemas.openxmlformats.org/officeDocument/2006/docPropsVTypes"/>
</file>