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23-TA-1044: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Eiropas Savienības kohēzijas politikas programmas 2021.- 2027. gadam 4.3.5. specifiskā atbalsta mērķa "Uzlabot vienlīdzīgu un savlaicīgu piekļuvi kvalitatīviem, ilgtspējīgiem un izmaksu ziņā pieejamiem pakalpojumiem; pilnveidot sociālās aizsardzības sistēmas, tostarp veicināt sociālās aizsardzības pieejamību; uzlabot ilgtermiņa aprūpes pakalpojumu pieejamību, efektivitāti un izturētspēju" 4.3.5.5. pasākuma "Pieeja tiesiskumam" īstenošanas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Datu valsts inspekcija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23-TA-1044</w:t>
    </w:r>
    <w:r>
      <w:br/>
    </w:r>
    <w:r w:rsidR="00000000" w:rsidRPr="00000000" w:rsidDel="00000000">
      <w:rPr>
        <w:rtl w:val="0"/>
      </w:rPr>
      <w:t xml:space="preserve">Izdrukāts 08.11.2023. 13.31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23-TA-1044</w:t>
    </w:r>
    <w:r>
      <w:br/>
    </w:r>
    <w:r w:rsidR="00000000" w:rsidRPr="00000000" w:rsidDel="00000000">
      <w:rPr>
        <w:rtl w:val="0"/>
      </w:rPr>
      <w:t xml:space="preserve">Izdrukāts 08.11.2023. 13.31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Atzinumi_23-TA-1044.docx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