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saņēmējs nodrošina, ka atbalsta projekta īstenošanas laikā tiek ievērots horizontālais princips "Klimatdrošināšana" un “Energoefektivitāte pirmajā vietā” un princips "Nenodarīt būtisku kaitējumu", paredzot atbilstošas prasības līgumos ar piegādātājiem un pakalpojumu sniedzējiem (ja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 punktu ar apakšpunktu, nosakot kādas prasības līgumos ar piegādātājiem un pakalpojumu sniedzējiem tiks attiecinātas uz principu “Energoefektivitāte pirmajā vietā”. Atbilstoši, lūdzam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energoefektīvu iekārtu iegādi (ja attiecināms) un nodrošina sistēmas efektivitāti, pamatojot to ar sasniegto kopējo primāro enerģijas ietaupījumu.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