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minēto informāciju ietvert anotācijas 7.sadaļā, jo tā nav aizpildīta atbilstoši vadlīnijām tiesību akta projekta sākotnējās ietekmes novērtējuma ziņojuma sagatavošanai vienotajā tiesību aktu izstrādes un saskaņošanas portālā. Vienlaikus lūdzam sniegt informāciju, ka portāla parakstu vākšanas tiešsaistes sistēmas pārzinis turpmāk būs Valsts reģionālās attīstības aģentūra.  Līdz ar to arī sniedzama informācija par administratīvā sloga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52.2.6.1 apakšpunktam aicinām projektu saskaņot ar Datu valsts inspekciju, ņemot vērā, ka projekts skar personas datu apstrādes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18.07.2024.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18.07.2024.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Atzinumi_24-TA-1280.docx</dc:title>
</cp:coreProperties>
</file>

<file path=docProps/custom.xml><?xml version="1.0" encoding="utf-8"?>
<Properties xmlns="http://schemas.openxmlformats.org/officeDocument/2006/custom-properties" xmlns:vt="http://schemas.openxmlformats.org/officeDocument/2006/docPropsVTypes"/>
</file>