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"Skaistkalni" Baldones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pārliecināties, ka, nosūtot hipotekārajam kreditoram 2024.gada 4.februāra vēstuli par zemes daļas atsavināšanu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 pielikums 84.lapa</w:t>
            </w:r>
            <w:r w:rsidR="00000000" w:rsidRPr="00000000" w:rsidDel="00000000">
              <w:rPr>
                <w:rtl w:val="0"/>
              </w:rPr>
              <w:t xml:space="preserve">), pielikumā pievienotais paziņojums - 2023.gada 31.jūlija paziņojums Nr.2.3.N/2023-2307 – ir pievienots kopā ar zemes vienības grafisko materiālu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 pielikums 62.lapa</w:t>
            </w:r>
            <w:r w:rsidR="00000000" w:rsidRPr="00000000" w:rsidDel="00000000">
              <w:rPr>
                <w:rtl w:val="0"/>
              </w:rPr>
              <w:t xml:space="preserve">). Minētā vajadzības izriet no Sabiedrības vajadzībām nepieciešamā nekustamā īpašuma atsavināšanas likuma 18.panta.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Māris Gerlovess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paskaidrojošos dokumentos pievienot vēstuli “Par aprēķināto atlīdzību un uzaicinājumu piedalīties Atlīdzības noteikšanas komisijas sēdē”. Lai gan no pievienotās elektroniskās pasta sarakstes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 pielikums 86.lapa</w:t>
            </w:r>
            <w:r w:rsidR="00000000" w:rsidRPr="00000000" w:rsidDel="00000000">
              <w:rPr>
                <w:rtl w:val="0"/>
              </w:rPr>
              <w:t xml:space="preserve">) var secināt, ka īpašnieks ir saņēmis minēto vēstuli, ir būtiski to pievienot rīkojuma projekta pielikumam.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Māris Gerlovess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24-TA-1952</w:t>
    </w:r>
    <w:r>
      <w:br/>
    </w:r>
    <w:r w:rsidR="00000000" w:rsidRPr="00000000" w:rsidDel="00000000">
      <w:rPr>
        <w:rtl w:val="0"/>
      </w:rPr>
      <w:t xml:space="preserve">Izdrukāts 12.09.2024.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24-TA-1952</w:t>
    </w:r>
    <w:r>
      <w:br/>
    </w:r>
    <w:r w:rsidR="00000000" w:rsidRPr="00000000" w:rsidDel="00000000">
      <w:rPr>
        <w:rtl w:val="0"/>
      </w:rPr>
      <w:t xml:space="preserve">Izdrukāts 12.09.2024.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