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Sauszemes transportlīdzekļu īpašnieku civiltiesiskās atbildības obligātās apdrošināšanas likuma pārejas noteikumu 31. punktā paredzēts uzdevums iesniegt Saeimai izvērtējumu tostarp par nepieciešamajiem grozījumiem šajā likumā, lūdzam ziņojumu, piem., 4. sadaļu </w:t>
            </w:r>
            <w:r w:rsidR="00000000" w:rsidRPr="00000000" w:rsidDel="00000000">
              <w:rPr>
                <w:i w:val="1"/>
                <w:rtl w:val="0"/>
              </w:rPr>
              <w:t xml:space="preserve">Secinājumi un turpmākā rīcība</w:t>
            </w:r>
            <w:r w:rsidR="00000000" w:rsidRPr="00000000" w:rsidDel="00000000">
              <w:rPr>
                <w:rtl w:val="0"/>
              </w:rPr>
              <w:t xml:space="preserve">, papildināt ar konkrētu informāciju par to, vai attiecīgi grozījumi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Atzinumi_25-TA-922.docx</dc:title>
</cp:coreProperties>
</file>

<file path=docProps/custom.xml><?xml version="1.0" encoding="utf-8"?>
<Properties xmlns="http://schemas.openxmlformats.org/officeDocument/2006/custom-properties" xmlns:vt="http://schemas.openxmlformats.org/officeDocument/2006/docPropsVTypes"/>
</file>