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24-TA-2790: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Šveices – Latvijas sadarbības programmas “Bērnu vēža aprūpes attīstība Latvijā" īstenošanas noteikumi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(Detalizēts finanšu plūsmas aprēķins)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w:t>
            </w:r>
            <w:r w:rsidR="00000000" w:rsidRPr="00000000" w:rsidDel="00000000">
              <w:rPr>
                <w:b w:val="1"/>
                <w:rtl w:val="0"/>
              </w:rPr>
              <w:t xml:space="preserve">Šveices – Latvijas sadarbības programmas “Bērnu vēža aprūpes attīstība Latvijā"</w:t>
            </w:r>
            <w:r w:rsidR="00000000" w:rsidRPr="00000000" w:rsidDel="00000000">
              <w:rPr>
                <w:rtl w:val="0"/>
              </w:rPr>
              <w:t xml:space="preserve"> (turpmāk – Programma) īstenošanas un uzraudzības kārtību, tostarp: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2009. gada 3. februāra noteikumu Nr. 108 "Normatīvo aktu projektu sagatavošanas noteikumi" 100.2. apakšpunktu, lūdzam precizēt noteikumu projekta 1. punktu, ievērojot Latvijas un Šveices sadarbības programmas 2019.—2029. gada perioda vadības likuma (turpmāk - likums) 15. panta 12. punktā ietverto pilnvarojumu un nepieciešamības gadījumā atbilstoši precizēt citas noteikumu projekta vienības. Vienlaikus, ja pilnvarojumu kādā daļā nav paredzēts izpildīt ar noteikumu projektu, lūdzam atbilstošu skaidrojumu par konkrētā pilnvarojuma izpildi sniegt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Šveices – Latvijas sadarbības programmas “Bērnu vēža aprūpes attīstība Latvijā" (turpmāk - Programma) īstenošanas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Programmas mērķi un sasniedzamos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pieejamo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programmas apsaimniekotāju un aģentūru, kā arī to kompetenču sadalījumu un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iepriekš noteiktā projekta potenciālo īstenotāju;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atbalstāmo darbību, izmaksu attiecināmības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iepriekš noteiktā projekta līguma vienpusēja uzteikuma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komercdarbības atbalsta kontroles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Programmas ietvaros atbalstu piešķir, atbildīgās nozares ministrijas funkcijas un programmas apsaimniekotāja funkcijas pilda un līgumu ar finansējuma saņēmēju par projekta īstenošanu slēdz Veselības ministrija (turpmāk – programmas apsaimniekotājs).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tiek slēgts līgums par iepriekš noteiktā projekta vai līgums par projekta īstenošanu, un atbilstoši precizēt noteikumu projektu, nodrošinot vienveidīgu terminoloģiju atbilstoši likumā noteiktajam. Līdzīgi lūdzam noteikumu projektā terminu "finansējuma saņēmējs" aizstāt ar terminu "iepriekš noteiktā projekta īstenotājs".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sinerģijā ar Projekta īstenotāja izveidoto Veselības aprūpes attīstības centru (</w:t>
            </w:r>
            <w:r w:rsidR="00000000" w:rsidRPr="00000000" w:rsidDel="00000000">
              <w:rPr>
                <w:rtl w:val="0"/>
              </w:rPr>
              <w:t xml:space="preserve">Par ziedojuma pieņemšanu valsts sabiedrības ar ierobežotu atbildību “Bērnu klīniskā universitātes slimnīca” veselības aprūpes attīstības centra izveidei</w:t>
            </w:r>
            <w:r w:rsidR="00000000" w:rsidRPr="00000000" w:rsidDel="00000000">
              <w:rPr>
                <w:rtl w:val="0"/>
              </w:rPr>
              <w:t xml:space="preserve">) attīstīt personalizētas ārstēšanas programmas un klīniskos ārstēšanas ceļus bērnu onkoloģijas un reto slimību jomā, īstenojot daudznozaru sadarbību starp ekspertiem un palielinot patoloģijas un molekulāro laboratoriju pakalpojumu spējas.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svītrot noteikumu projekta 4.3. apakšpunktā ietverto norādi "Par ziedojuma pieņemšanu valsts sabiedrības ar ierobežotu atbildību “Bērnu klīniskā universitātes slimnīca” veselības aprūpes attīstības centra izveidei", kura jēga un būtība no minētā apakšpunkta neizriet.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Programmas kopējais attiecināmais finansējums ir  8 823 529 CHF, tai skaitā Šveices Konfederācijas finansējums – 7 500 000 CHF un nacionālais valsts budžeta finansējums – 2 152 941 CHF.</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likumā ietvertajam pilnvarojumam noteikumu projektā norādīt programmas pieejamo, nevis kopējo attiecināmo finansējumu, kā arī lūdzam izvērtēt un noteikumu projekta 6. punktā minēto finansējumu izteikt </w:t>
            </w:r>
            <w:r w:rsidR="00000000" w:rsidRPr="00000000" w:rsidDel="00000000">
              <w:rPr>
                <w:i w:val="1"/>
                <w:rtl w:val="0"/>
              </w:rPr>
              <w:t xml:space="preserve">euro</w:t>
            </w:r>
            <w:r w:rsidR="00000000" w:rsidRPr="00000000" w:rsidDel="00000000">
              <w:rPr>
                <w:rtl w:val="0"/>
              </w:rPr>
              <w:t xml:space="preserve"> valūtā, nepieciešamības gadījumā iekavās norādot arī attiecīgo Šveices franku apmēru, ievērojot Padomes 1998. gada 3. maija Regulas (EK) 974/98 par eiro ieviešanu 3. pantā noteikto un to, ka atbilstoši Civillikuma 1833. pantam visi maksājumi izdarāmi </w:t>
            </w:r>
            <w:r w:rsidR="00000000" w:rsidRPr="00000000" w:rsidDel="00000000">
              <w:rPr>
                <w:i w:val="1"/>
                <w:rtl w:val="0"/>
              </w:rPr>
              <w:t xml:space="preserve">euro, </w:t>
            </w:r>
            <w:r w:rsidR="00000000" w:rsidRPr="00000000" w:rsidDel="00000000">
              <w:rPr>
                <w:rtl w:val="0"/>
              </w:rPr>
              <w:t xml:space="preserve">tai skaitā</w:t>
            </w:r>
            <w:r w:rsidR="00000000" w:rsidRPr="00000000" w:rsidDel="00000000">
              <w:rPr>
                <w:i w:val="1"/>
                <w:rtl w:val="0"/>
              </w:rPr>
              <w:t xml:space="preserve"> </w:t>
            </w:r>
            <w:r w:rsidR="00000000" w:rsidRPr="00000000" w:rsidDel="00000000">
              <w:rPr>
                <w:rtl w:val="0"/>
              </w:rPr>
              <w:t xml:space="preserve">arī līguma par iepriekš noteiktā projekta īstenošanu ietvaros veiktie maksājumi, kam pieejamais finansējums atspoguļojams minētajā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Programmas un Projekta ietvaros atbalstāmās darbības iekļauj pasākumu un darbību kopumu ar mērķi uzlabot diagnostiku, ārstēšanu un dzīves kvalitāti bērniem, kas slimo ar vēzi un retām slimībām, nodrošinot aprūpes nepārtrauktību un uz pacientu centrētu un daudzdisciplināru pieeju.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izvērtēt un noteikumu projekta 8. punktā skaidrot, kādi pasākumi un darbības atbilst atbalstāmajām darbībām. Norādām, ka ar vispārīgu atsauci uz pasākumiem un darbībām ar mērķi, kas precīzi atbilst programmas mērķim, pirmšķietami netiek izpildīts Latvijas un Šveices sadarbības programmas 2019.—2029. gada perioda vadības likuma 15. panta 12. punktā ietvertais pilnvarojums.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 citu preču un pakalpojumu izmaksas saistībā ar Programmas un Projekta īstenošanu.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noteikumu projekta 9.6. un 10.9. apakšpunktā ietverto regulējumu, jo pretējā gadījumā iespējams secināt, ka noteikumu projekta 9.6. apakšpunktā minētajām izmaksām nav jābūt pamatotām.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 citu preču un pakalpojumu izmaksas saistībā ar Programmas un Projekta īstenošanu.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projekta 9.6. apakšpunktā skaidrot (nepieciešamības gadījumā - piemērveidā), kādas vēl preču un pakalpojumu izmaksas saistībā ar Programmas un Projekta īstenošanu ir attiecināmas. Līdzīgi lūdzam precizēt noteikumu projekta 10.9.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Ir atbalstāmas Programmas un Projekta īstenošanas personāla atlīdzības izmaksas (atbilstoši šo noteikumu 11. punktā noteiktām atbalstāmām darbībām un šo noteikumu 12. punktā noteiktām izmaksu pozīcijām), kas radušās uz darba līguma vai uzņēmuma (pakalpojuma) līguma pamata, tai skaitā normatīvajos aktos noteiktās valsts un pašvaldību institūciju amatpersonu un darbinieku atlīdzības izmaksas, kā arī nodokļu politikas jomā noteiktās piemaksas un nodokļi programmas un Projekta īstenošanas laikā.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iekavas un vārdus "(atbilstoši šo noteikumu 11. punktā noteiktām atbalstāmām darbībām un šo noteikumu 12. punktā noteiktām izmaksu pozīcijām)", jo attiecīgā norāde ir lieka. Nepieciešamības gadījumā lūdzam noteikumu projekta 9.1. un 10.1. apakšpunktā piemērveidā norādīt uz Programmas un Projekta īstenošanas personāla atlīdzības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Programmas izmaksas ir attiecināmas, ja tās atbilst šajos noteikumos minētajām izmaksu pozīcijām un ir radušās no 2024. gada 1. septembra līdz 2029. gada 3. decembrim.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13. punktu un 14.1. apakšpunktu, nedublējot likuma 29. panta regulējumu, bet tā vietā nepieciešamības gadījumā lūdzam izdarīt atsauci uz minēto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15.9. pārmērīgi vai neapdomīgi izdevumi.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ar noteikumu projekta 15.9. apakšpunktā ietverto regulējumu netiek pēc būtības dublēts šo noteikumu 14.2. un 14.3. apakšpunktā ietvertais regulējums, nepieciešamības gadījumā svītrojot 15.9. apakšpunktu. Kā arī lūdzam norādi uz neapdomīgiem izdevumiem svītrot kā subjektīvu un apgrūtinoši piemērojamu praksē.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Programmas apsaimniekotājs un Projekta īstenotājs noslēdz līgumu par projekta īstenošanu. Līgumā iekļauj vismaz šādus nosacījumus: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nedublējot noteikumu projekta 2. 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Līgumā par projekta īstenošanu iekļauj vismaz šādus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 iepirkumu plāna iesniegšanas kārtība, paredzot finansējuma saņēmēja pienākumu, tiklīdz ir zināma informācija par iepirkumu izsludināšanas brīdi, iesniegt iepirkumu plānu vadības informācijas sistēmā par visiem investīcijas ieviešanai plānotajiem iepirkumiem, kuru rīkošanai paredzēts piemērot publisko iepirkumu regulējumu;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konsekventu terminoloģiju attiecībā uz to, kas tiek ieviests, programma, Projekts vai investīcija, ņemot vērā, ka šobrīd no noteikumu projekta neizriet, kas ir domāts ar investīciju.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16.6. publicitātes kārtību saskaņā ar Donorvalsts komunikācijas vadlīnijām;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16.6. apakšpunkta nav skaidrs, kur ir pieejamas Donorvalsts komunikācijas vadlīnijas, kā arī tas, kāds ir to juridiski saistošais raksturs attiecībā uz privātpersonām (Projekta īstenotāju). Norādām, ka noteikumu projektā nedrīkst atsaukties un uzlikt par pienākumu indivīdam ievērot juridiski nesaistošus dokumentus, tādēļ lūdzam svītrot minētajā apakšpunktā ietverto atsauci uz vadlīnijām, nepieciešamības gadījumā iekļaujot vadlīniju prasības iepriekš noteiktā līgumā par projekta īstenošanu vai pārņemot tās noteikumu projekta 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 informē Programmas apsaimniekotāju par aktuālajām izmaiņām Projekta budžetā, nepieciešamības gadījumā pieprasot veikt grozījumus Projekta un Programmas līgumā;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20.3. apakšpunktā ietverto regulējumu, kas paredz tiesības Projekta īstenotājam pieprasīt veikt grozījumus Programmas līgumā, ievērojot, ka Projekta īstenotājs nav minētā līguma dalībnieks, turklāt attiecīgas izmaiņas vadošajai iestādei atbilstoši likuma sistēmai varētu ierosināt (un nevis pieprasīt) vienīgi programmas apsaimniekotājs. Papildus lūdzam izvērtēt un papildināt noteikumu projektu ar regulējumu, kādos gadījumos Projekta līgumā grozījumus būtu pieļaujams veikt.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20.5. sedz Projekta sadārdzinājumu no saviem līdzekļiem, ja projekta izmaksas pieaug;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20.5. apakšpunktu kā 20.4. apakšpunktā ietvertā regulējuma dublējošu.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20.6. nodrošina, ka atbalstāmo darbību īstenošanai nepieciešamo iepirkumu finansējuma saņēmējs veic  atbilstoši Eiropas Savienības un Latvijas Republikas iepirkumu regulējošos normatīvajos aktos noteiktajai kārtībai, īstenojot atklātu, pārredzamu, nediskriminējošu un konkurenci nodrošinošu iepirkuma procedūru;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20.6. apakšpunktu kā noteikumu projekta 14.4. apakšpunktā ietvertā regulējuma dublējošu.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Finanšu līdzekļi tiek piešķirti Projekta īstenotājam, ievērojot Eiropas Komisijas 2011. gada 20. decembra lēmuma "Par Līguma par Eiropas Savienības darbību 106. panta 2. punkta piemērošanu valsts atbalstam attiecībā uz kompensāciju par sabiedriskajiem pakalpojumiem dažiem uzņēmumiem, kuriem uzticēts sniegt pakalpojumus ar vispārēju tautsaimniecisku nozīmi" (2012/21/ES) nosacījumus.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24. punktā ietverto atsauci uz Eiropas Savienības lēmumu, nepieciešamības gadījumā pārņemot tā prasības noteikumu projektā. Norādām, ka saskaņā ar Līguma par Eiropas Savienības darbību 288. pantu lēmumi, kuros ir norādīti konkrēti adresāti, ir saistoši tikai šiem adresātiem. Ja lēmumu adresāts ir dalībvalstis un ir nepieciešams to normas padarīt saistošas privātpersonām, tad lēmumi ir jāpārņem valsts tiesību sistēmā tāpat kā direktīvas. Atbilstoši Eiropas Komisijas 2011. gada 20. decembra lēmuma "Par Līguma par Eiropas Savienības darbību 106. panta 2. punkta piemērošanu valsts atbalstam attiecībā uz kompensāciju par sabiedriskajiem pakalpojumiem dažiem uzņēmumiem, kuriem uzticēts sniegt pakalpojumus ar vispārēju tautsaimniecisku nozīmi" (2012/21/ES) 13. pantam tas ir adresēts dalībvalstīm. Tādējādi, lai minētā lēmuma normas padarītu saistošas privātpersonām, tās jāpārņem nacionālajā normatīvajā aktā.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Atbalsta piešķiršanas termiņš ir no 2024. gada 1. oktobra līdz 2029. gada 31. martam.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25. punktā ietvertais regulējums, iespējams, pēc būtības dublē noteikumu projekta 13. punktā un 14.1. apakšpunktā ietverto regulējumu, tādēļ lūdzam izvērtēt un svītrot 25. punktu. Norādām, ka no noteikumu projekta kopumā izriet, ka atbalsts tiek piešķirts vienreiz, un pēc tam, izpildoties noteiktiem priekšnoteikumi, tiek veikti maksājumi, kas jau izriet no noteikumu projektā paredzētajiem izmaksu attiecināmības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Atbalsts tiek piešķirts projekta attiecināmo izmaksu segšanai, tai skaitā pievienotās vērtības nodokļa segšanai.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26. punktu kā noteikumu projekta IV nodaļā ("IV Atbalstāmās darbības un attiecināmās izmaksas") ietvertā regulējuma attiecībā uz izmaksu attiecināmības nosacījumiem dublējošu.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Programmas apsamniekotājs nodrošinās piešķirtā atbalsta izlietojuma uzraudzību un kontroli, lai piešķirtais atbalsts sasniedz Projekta un Programmas mērķus un paredzamos rezultātus.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noteikumu projekta 27. punktu vai skaidrot, kā atbalsts sasniedz attiecīgos mērķus un paredzamos rezultātus. Ierosinām svītrot minēto norādi kā lieku, ņemot vērā, ka prasības attiecībā uz izmaksu attiecināmību jau ir iekļautas citos noteikumu projekta punktos.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Programmas apsaimniekotājs nodrošina piešķirtā atbalsta izlietojuma uzraudzību."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Programmas apsaimniekotājs kontrolē, lai piešķirtais atbalsts nesniedz nepamatotas priekšrocības un netiek ļaunprātīgi izmantots, lai nodrošinātu godīgu konkurenci.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noteikumu projekta anotācijā skaidrot noteikumu projekta 28. punktā ietvertā regulējuma piemērošanu, nepieciešamības gadījumā to precizējot vai svītrojot. Norādām, ka pirmšķietami minētā kontrole pamatā īstenojama, sagatavojot noteikumu projektu un nodrošinot, ka atbalsts tiek piešķirts, ievērojot valsts atbalsta kontroles un iepirkumu jomas tiesisko regulējumu (kas jau šobrīd izriet no noteikumu projekta), nevis veicot uzraudzību par to, kā tiek izmantots piešķirtais atbalsts.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Programmas apsaimniekotājs vismaz vienu reizi gadā organizē programmas Vadības komitejas klātienes sanāksmi saskaņā ar Programmas apsaimniekotāja izstrādātu nolikumu, kurā Programmas apsaimniekotājs un Projekta īstenotājs informē par sasniegtajiem rezultātiem un citiem aktuālajiem jautājumiem.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projekta 30. punktā skaidrot, par kādiem citiem aktuālajiem jautājumiem vēl jāinformē Projekta īstenotājam.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Programmas apsaimniekotājs apstiprina Projekta mērķa sasniegšanu, pamatojoties uz šo noteikumu 18. punktā  minēto dokumentu kopumu.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31. punktu kā noteikumu projekta 18. punktā ietvertā regulējuma dublējošu vai skaidrot, ar ko Projekta rezultātu sasniegšanas apstiprināšana atšķiras no Projekta mērķa sasniegšanas apstiprināšanu.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9.19. apakšpunktu, lūdzam aizpildīt noteikumu projekta anotācijas 5.5. sadaļu,  sniedzot skaidrojumu par 2023. gada 19. jūnijā parakstītā Latvijas Republikas valdības un Šveices federālās valdības ietvarlīgumā par Šveices sadarbības programmas otrā perioda īstenošanu noteiktām ES dalībvalstīm ekonomisko un sociālo atšķirtību mazināšanai ES paredzēto saistību izpildi ar noteikumu projektu, kā arī nepieciešamības gadījumā, ja attiecīgās prasības tiek pārņemtas noteikumu projektā, lūdzam skaidrot arī donorvalsts noteikumos iekļauto prasību pārņemšanu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Programmas un Projekta ietvaros līdz 2029. gada 30. novembrim ir sasniedzami šādi rezultāti: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izvērtēt un noteikumu projekta 5. punktā atsevišķi norādīt, kādi ir programmas un Projekta rezultāti.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pieaudzis 5 gadu dzīvildzes rādītājs līdz 85% bērna onkoloģijas pacientiem, kas saņēmuši ārstēšanu, saskaņā ar noteikto šajā projektā iekļauto terapijas protokolu;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precizēt noteikumu projekta 5.1. apakšpunktu, konkrēti norādot, kas ir domāts ar šo projektu, proti, iepriekš noteiktais projekts vai šie noteikumi (proti, noteikumu projekts).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izveidots multidisciplinārs audzēja panelis </w:t>
            </w:r>
            <w:r w:rsidR="00000000" w:rsidRPr="00000000" w:rsidDel="00000000">
              <w:rPr>
                <w:i w:val="1"/>
                <w:rtl w:val="0"/>
              </w:rPr>
              <w:t xml:space="preserve">(tumor board)</w:t>
            </w:r>
            <w:r w:rsidR="00000000" w:rsidRPr="00000000" w:rsidDel="00000000">
              <w:rPr>
                <w:rtl w:val="0"/>
              </w:rPr>
              <w:t xml:space="preserve"> 4 specifiskām onkoloģiskās diagnozes grupām, nodrošinot, ka vismaz 70% bērnu onkoloģisko slimību gadījumi tiek apspriesti šajos paneļos;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vārdus "šajos paneļos" aizstāt ar vārdiem "šajā panelī", ņemot vērā, ka noteikumu projekta 5.2. apakšpunktā norādīts tikai viens panelis.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izveidota un uzsākta ilgtermiņa pēcārstēšanas uzraudzības programma, kurā projekta īstenošanas laikā ir iesaistījušies 288 pacienti.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noteikumu projektā konsekventi ievērot iepriekš atrunāto saīsinājumu "Projekts".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Programmas kopējais attiecināmais finansējums ir  8 823 529 CHF, tai skaitā Šveices Konfederācijas finansējums – 7 500 000 CHF un nacionālais valsts budžeta finansējums – 2 152 941 CHF.</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Šveices Konfederācijas finansējums un nacionālais valsts budžeta finansējums (9,652,941 CHF) pārsniedz programmas kopējo attiecināmo finansējumu (8 823 529 CHF), tādēļ lūdzam atbilstoši precizēt (salāgot minētos finansējuma apmērus) noteikumu projekta 6.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Programmas un Projekta īstenošanas izmaksas nepārsniedz šo noteikumu 10. punktā norādītā Programmas un valsts finansējuma summu.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10. punktā nav norādīta Programmas un valsts finansējuma summa, tādēļ lūdzam svītrot vai precizēt noteikumu projekta 12. punktu, nodrošinot juridiskās tehnikas prasībām atbilstošu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 maksa par finanšu darījumiem un citas tīri finansiālas izmaksas, izņemot izmaksas, kas saistītas ar kontiem, kurus pieprasa Finanšu ministrija vai maksājumu iestāde vai kuri noteikti piemērojamajos tiesību aktos, un atbalsta pasākuma līgumā noteikto finanšu pakalpojumu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skaidrot, vai ar atbalsta pasākuma līgumu saprotams iepriekš noteiktā projekta līgums, attiecīgā gadījumā lūdzam atbilstoši precizēt noteikumu projektu, nodrošinot vienveidīgu terminoloģiju. Līdzīgi lūdzam skaidrot, vai ar noteikumu projekta 15.6. apakšpunktā lietoto terminu "saņēmējs" ir saprotams Projekta īstenotājs.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 dokumentu kopums, kas apliecinās Programmas un Projekta rezultātu sasniegšanu atbilstoši šo noteikumu 7. punktā minētajiem rezultātiem;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noteikumu projekta 16.4. apakšpunktā ietverto atsauci uz 7. punktu, ņemot vērā, ka 7. punktā nav iekļauti Programmas un Projekta rezultāti.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16.9. citi ar Programmas un Projekta sasniegšanu un uzraudzību saistīti nosacījumi.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"16.9. citi ar Programmas un Projekta mērķu sasniegšanu un uzraudzību saistīti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regulāro pārskatu iesniegšana Programmas apsaimniekotājam ne mazāk kā vienu reizi gadā (saskaņā ar programmas apsaimniekotāja noteiktajiem termiņiem) par Projekta ietvaros veiktajām aktivitātēm un sasniegtajiem rezultātiem;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norādi "saskaņā ar programmas apsaimniekotāja noteiktajiem termiņiem" aizstāt ar norādi "saskaņā ar līgumā par Projekta īstenošanu noteiktajiem termiņiem" vai nodrošināt minētās norādes svītrošanu, ievērojot, ka šobrīd no noteikumu projekta neizriet, ka programmas apsaimniekotājs šos termiņus vienpusēji noteiktu.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 nodrošina Projektā plānoto darbu sasaisti, sinerģiju un demarkāciju ar citu valsts un ārvalstu finanšu atbalsta instrumentu investīcijām dubultā finansējuma riska mazināšanai;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svītrot vārdus "sasaisti, sinerģiju un" vai detalizēti skaidrot noteikumu projekta anotācijā, kā minētais pienākums ir īstenojams praksē.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 informē Programmas apsaimniekotāju par aktuālajām izmaiņām Projekta budžetā, nepieciešamības gadījumā pieprasot veikt grozījumus Projekta un Programmas līgumā;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lietot konsekventu terminoloģiju atbilstoši likumā noteiktajam un atsaukties uz līgumu par iepriekš noteiktā projekta īstenošanu, nepieciešamības gadījumā atrunājot atbilstošu saīsinājumu ("Projekta līgums").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20.4. sedz Projekta sadārdzinājumu no saviem līdzekļiem, ja projekta izmaksas pieaug, gadījumos, kad nav iespējams veikt 24.3. punktā norādītos grozījumus;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20.4. apakšpunktā ietverto atsauci uz 24.3. punktu, jo nav skaidrs, uz kādu juridisko dokumentu izdarīta atsauce (noteikumu projektā arī nav ietverta attiecīga vienība).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Programmas un Projekta ieviešanas teritorija ir Latvijas Republika.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projekta 21. punktu iekļaut noteikumu projekta I nodaļā.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Programmas apsaimniekotājs kontrolē, lai piešķirtais atbalsts nesniedz nepamatotas priekšrocības un netiek ļaunprātīgi izmantots, lai nodrošinātu godīgu konkurenci.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tehniski precizēt, jo nav skaidrs, kā (un ir arī apšaubāms, ka ļaunprātīgas rīcības mērķis varētu būt godīga konkurence) atbalsta ļaunprātīgas izmantošanas mērķis varētu būt godīgas konkurences nodrošināšana.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Programmas apsaimniekotājs pēc Projekta īstenotāja pieprasījuma nodrošina priekšfinansējuma un līdzfinansējuma pieprasīšanu kārtējam gadam atbilstoši gadskārtējā valsts budžeta likumā noteikto apropriācijas izmaiņu veikšanu reglamentējošajiem normatīvajiem aktiem.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precīzāk norādīt, pēc kādām darbībām saistībā ar pieprasījumu (nosūtīšana, saņemšana) nodrošināma priekšfinansējuma un līdzfinansējuma pieprasīšana.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Programmas apsaimniekotājs pēc Projekta īstenotāja pieprasījuma saņemšanas nodrošina priekšfinansējuma un līdzfinansējuma pieprasīšanu kārtējam gadam atbilstoši gadskārtējā valsts budžeta likumā noteikto apropriācijas izmaiņu veikšanu reglamentējošajiem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Programmas apsaimniekotājs Projekta ieviešanas laikā pēc nepieciešamības veic attālinātas vai klātienes pārbaudes vai Projekta uzraudzībai, tai skaitā datu ticamības pārbaudes.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Programmas apsaimniekotājs, īstenojot Projekta uzraudzību, pēc nepieciešamības veic attālinātas vai klātienes pārbaudes, tai skaitā datu ticamības pārbaudes.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24-TA-2790</w:t>
    </w:r>
    <w:r>
      <w:br/>
    </w:r>
    <w:r w:rsidR="00000000" w:rsidRPr="00000000" w:rsidDel="00000000">
      <w:rPr>
        <w:rtl w:val="0"/>
      </w:rPr>
      <w:t xml:space="preserve">Izdrukāts 16.12.2024. 08.49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24-TA-2790</w:t>
    </w:r>
    <w:r>
      <w:br/>
    </w:r>
    <w:r w:rsidR="00000000" w:rsidRPr="00000000" w:rsidDel="00000000">
      <w:rPr>
        <w:rtl w:val="0"/>
      </w:rPr>
      <w:t xml:space="preserve">Izdrukāts 16.12.2024. 08.49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Atzinumi_24-TA-2790.docx</dc:title>
</cp:coreProperties>
</file>

<file path=docProps/custom.xml><?xml version="1.0" encoding="utf-8"?>
<Properties xmlns="http://schemas.openxmlformats.org/officeDocument/2006/custom-properties" xmlns:vt="http://schemas.openxmlformats.org/officeDocument/2006/docPropsVTypes"/>
</file>