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20. jūnija noteikumos Nr. 353 "Prasības zaļajam publiskajam iepirkumam un to piemērošanas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Esošā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pielikuma 7. nodaļa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ielu apgaismojumu nav attiecināms tuneļu apgaismojums, privāto autostāvvietu apgaismojums, komerciālo vai rūpniecisko āra apgaismojums, sporta laukumu apgaismojums vai dekoratīvās apgaismes iekārta.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izņēmumu gadījumus, kuriem var neattiecināt gaismekļu efektivitātes minimālo lielumu (137lm/W). Izņēmumus papildināt ar parku, rekreācijas laukumu un pilsētu vēsturisko centru publiskajā apgaismē izmantojamajiem gaismekļiem. Minētajās teritorijās bieži tiek projektēti dizainiski elegantāki gaismekļi, salīdzinot ar tipiskiem ielu apgaismes gaismekļiem, kas tiek izmantoti ielu un maģistrāļu apgaismei. Šo gaismekļu nestandarta formas tehniski ierobežo to veiktspēju.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Bandeniece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07.02.2023.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07.02.2023.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