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20. jūnija noteikumos Nr. 496 "Nekustamā īpašuma lietošanas mērķu klasifikācija un nekustamā īpašuma lietošanas mērķu noteikšanas un maiņas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Noteikumu Nr. 496 23. punkta redakciju svītrot "</w:t>
            </w:r>
            <w:r w:rsidR="00000000" w:rsidRPr="00000000" w:rsidDel="00000000">
              <w:rPr>
                <w:i w:val="1"/>
                <w:rtl w:val="0"/>
              </w:rPr>
              <w:t xml:space="preserve">2023. gada 12. decembrī veiktie grozījumi</w:t>
            </w:r>
            <w:r w:rsidR="00000000" w:rsidRPr="00000000" w:rsidDel="00000000">
              <w:rPr>
                <w:rtl w:val="0"/>
              </w:rPr>
              <w:t xml:space="preserve">", jo Ministru kabineta 2014.gada 2.septembra noteikumi Nr.529 "Ēku būvnoteikumi" jau kopš tā spēkā stāšanās - 2014.gada 1.oktobra, paredzēja paskaidrojuma raksta būvniecības procesu pirmās grupas ēkas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risinājumu aprakstu arī ar paskaidrojuma raksta būvniecības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anotāciju, ja noteikumu projektā precizēs tiesību normas ar cita veida būvēm, kuras var būvēt ar paskaidrojuma rakstu, neierobežojot tikai ar pirmās grupas ēkām.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arī, ja paredzēta otrās grupas palīgēkas vai lauksaimniecības nedzīvojamās ēkas jauna būvniecība vai novietošana.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Avota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5</w:t>
            </w:r>
            <w:r w:rsidR="00000000" w:rsidRPr="00000000" w:rsidDel="00000000">
              <w:rPr>
                <w:rtl w:val="0"/>
              </w:rPr>
              <w:t xml:space="preserve"> Zemes vienība nav neapbūvēta apbūves zeme, ja par to ir veikta atzīme par būvdarbu uzsākšanas nosacījumu izpildi vai tajā veiks 1. grupas ēkas būvniecību, pamatojoties uz paskaidrojuma 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15.</w:t>
            </w:r>
            <w:r w:rsidR="00000000" w:rsidRPr="00000000" w:rsidDel="00000000">
              <w:rPr>
                <w:vertAlign w:val="superscript"/>
                <w:rtl w:val="0"/>
              </w:rPr>
              <w:t xml:space="preserve">5</w:t>
            </w:r>
            <w:r w:rsidR="00000000" w:rsidRPr="00000000" w:rsidDel="00000000">
              <w:rPr>
                <w:rtl w:val="0"/>
              </w:rPr>
              <w:t xml:space="preserve"> punkts nebūtu precizējams ar cita veida būvēm, kuras var būvēt ar paskaidrojuma rakstu, neierobežojot tikai ar pirmās grupas ēkām.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ja paredzēta arī otrās grupas palīgēkas vai lauksaimniecības nedzīvojamās ēkas jauna būvniecība vai novietošana.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norādīt, kur tiks "</w:t>
            </w:r>
            <w:r w:rsidR="00000000" w:rsidRPr="00000000" w:rsidDel="00000000">
              <w:rPr>
                <w:i w:val="1"/>
                <w:rtl w:val="0"/>
              </w:rPr>
              <w:t xml:space="preserve">veikta atzīme par būvdarbu uzsākšanas nosacījumu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Avota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7</w:t>
            </w:r>
            <w:r w:rsidR="00000000" w:rsidRPr="00000000" w:rsidDel="00000000">
              <w:rPr>
                <w:rtl w:val="0"/>
              </w:rPr>
              <w:t xml:space="preserve"> Ja zemes vienībā jaunas būvniecības gadījumā izsniegtajā būvatļaujā ir veikta atzīme par būvdarbu uzsākšanas nosacījumu izpildi vai ar paskaidrojuma rakstu tiks veikta 1. grupas ēkas būvniecība, lietošanas mērķi nosaka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15.</w:t>
            </w:r>
            <w:r w:rsidR="00000000" w:rsidRPr="00000000" w:rsidDel="00000000">
              <w:rPr>
                <w:vertAlign w:val="superscript"/>
                <w:rtl w:val="0"/>
              </w:rPr>
              <w:t xml:space="preserve">7</w:t>
            </w:r>
            <w:r w:rsidR="00000000" w:rsidRPr="00000000" w:rsidDel="00000000">
              <w:rPr>
                <w:rtl w:val="0"/>
              </w:rPr>
              <w:t xml:space="preserve">apakšpunkts nebūtu precizējams ar cita veida būvēm, kuras var būvēt ar paskaidrojuma rakstu, neierobežojot tikai ar pirmās grupas ēkām.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arī, ja paredzēta otrās grupas palīgēkas vai lauksaimniecības nedzīvojamās ēkas jauna būvniecība vai novietošana.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Avota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jaunas būvniecības gadījumā, ja izsniegta būvatļauja un tajā ir veikta atzīme par būvdarbu uzsākšanas nosacījumu izpildi, vai ar paskaidrojuma rakstu veiks 1. grupas ēkas būvniecību, vai, ja attiecībā uz jau esošu būvi izsniegta būvatļauja vai pieteikta vienkāršota atjaunošana, kuru īstenojot mainīsies: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17.3.apakšpunkts nebūtu precizējams ar cita veida būvēm, kuras var būvēt ar paskaidrojuma rakstu, neierobežojot tikai ar pirmās grupas ēkām.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arī, ja paredzēta otrās grupas palīgēkas vai lauksaimniecības nedzīvojamās ēkas jauna būvniecība vai novietošana.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svītrot "</w:t>
            </w:r>
            <w:r w:rsidR="00000000" w:rsidRPr="00000000" w:rsidDel="00000000">
              <w:rPr>
                <w:i w:val="1"/>
                <w:rtl w:val="0"/>
              </w:rPr>
              <w:t xml:space="preserve">vienkāršota atjaunošana</w:t>
            </w:r>
            <w:r w:rsidR="00000000" w:rsidRPr="00000000" w:rsidDel="00000000">
              <w:rPr>
                <w:rtl w:val="0"/>
              </w:rPr>
              <w:t xml:space="preserve">", jo, ievērojot Ministru kabineta 2014.gada 2.septembra noteikumu Nr.529 "Ēku būvnoteikumi" 1.</w:t>
            </w:r>
            <w:r w:rsidR="00000000" w:rsidRPr="00000000" w:rsidDel="00000000">
              <w:rPr>
                <w:vertAlign w:val="superscript"/>
                <w:rtl w:val="0"/>
              </w:rPr>
              <w:t xml:space="preserve">1</w:t>
            </w:r>
            <w:r w:rsidR="00000000" w:rsidRPr="00000000" w:rsidDel="00000000">
              <w:rPr>
                <w:rtl w:val="0"/>
              </w:rPr>
              <w:t xml:space="preserve">5.apakšpunktu, vienkāršota atjaunošana ir būvdarbi, kuru rezultātā ēkā vai tās daļā veic funkcionālus vai tehniskus uzlabojumus, </w:t>
            </w:r>
            <w:r w:rsidR="00000000" w:rsidRPr="00000000" w:rsidDel="00000000">
              <w:rPr>
                <w:b w:val="1"/>
                <w:rtl w:val="0"/>
              </w:rPr>
              <w:t xml:space="preserve">nemainot</w:t>
            </w:r>
            <w:r w:rsidR="00000000" w:rsidRPr="00000000" w:rsidDel="00000000">
              <w:rPr>
                <w:rtl w:val="0"/>
              </w:rPr>
              <w:t xml:space="preserve"> ēkas nolietojušos nesošos elementus vai konstrukcijas, būvapjomu un </w:t>
            </w:r>
            <w:r w:rsidR="00000000" w:rsidRPr="00000000" w:rsidDel="00000000">
              <w:rPr>
                <w:b w:val="1"/>
                <w:rtl w:val="0"/>
              </w:rPr>
              <w:t xml:space="preserve">lietošanas veidu</w:t>
            </w:r>
            <w:r w:rsidR="00000000" w:rsidRPr="00000000" w:rsidDel="00000000">
              <w:rPr>
                <w:rtl w:val="0"/>
              </w:rPr>
              <w:t xml:space="preserve"> un neskarot ēkas fasādi. Vēršam uzmanību, ka saskaņā ar normatīvo regulējumu būvniecības jomā būvniecības ieceres īstenošanai, t.sk. esošas būves būvdarbiem, piemēro trīs dažādus būvniecības administratīvos procesus - paziņošana, paskaidrojuma raksts un būvniecības iesniegums būvatļaujas saņemšanai.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arī, ja paredzēta otrās vai trešās grupas ēkas vai tās daļas atjaunošana, pirmās, otrās vai trešās grupas ēkas vai telpu grupas lietošanas veida maiņa bez pārbūves.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Avota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neapbūvētai apbūves zemes vienībai izsniegta būvatļauja, un tajā ir veikta atzīme par būvdarbu uzsākšanas nosacījumu izpildi vai, pamatojoties uz paskaidrojuma rakstu, veiks 1. grupas ēkas būvniecību, lietošanas mērķi nosaka atbilstoši būvatļaujā vai paskaidrojuma rakstā norādītajam mērķim (plānotās būvniecības iecerei)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23.</w:t>
            </w:r>
            <w:r w:rsidR="00000000" w:rsidRPr="00000000" w:rsidDel="00000000">
              <w:rPr>
                <w:vertAlign w:val="superscript"/>
                <w:rtl w:val="0"/>
              </w:rPr>
              <w:t xml:space="preserve">1</w:t>
            </w:r>
            <w:r w:rsidR="00000000" w:rsidRPr="00000000" w:rsidDel="00000000">
              <w:rPr>
                <w:rtl w:val="0"/>
              </w:rPr>
              <w:t xml:space="preserve">punkts nebūtu precizējams ar cita veida būvēm, kuras var būvēt ar paskaidrojuma rakstu, neierobežojot tikai ar pirmās grupas ēkām.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arī, ja paredzēta otrās grupas palīgēkas vai lauksaimniecības nedzīvojamās ēkas jauna būvniecība vai novietošana.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Avota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24-TA-1229</w:t>
    </w:r>
    <w:r>
      <w:br/>
    </w:r>
    <w:r w:rsidR="00000000" w:rsidRPr="00000000" w:rsidDel="00000000">
      <w:rPr>
        <w:rtl w:val="0"/>
      </w:rPr>
      <w:t xml:space="preserve">Izdrukāts 30.10.2024. 19.58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24-TA-1229</w:t>
    </w:r>
    <w:r>
      <w:br/>
    </w:r>
    <w:r w:rsidR="00000000" w:rsidRPr="00000000" w:rsidDel="00000000">
      <w:rPr>
        <w:rtl w:val="0"/>
      </w:rPr>
      <w:t xml:space="preserve">Izdrukāts 30.10.2024. 19.58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Atzinumi_24-TA-1229.docx</dc:title>
</cp:coreProperties>
</file>

<file path=docProps/custom.xml><?xml version="1.0" encoding="utf-8"?>
<Properties xmlns="http://schemas.openxmlformats.org/officeDocument/2006/custom-properties" xmlns:vt="http://schemas.openxmlformats.org/officeDocument/2006/docPropsVTypes"/>
</file>