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ko attiecas noteikumu 11.3. minētie mitrāji.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skaidrāk noteikt 9.3.1. punktā noteiktās teritorijas.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uz kurām teritorijām attieksies 9.1. punktā noteiktās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uz kādām teritorijām attiecas noteikumu 9. punktā noteiktais statuss.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šajā un turpmākajos priekšlikumos minētajos punktos minētajos punktos nepieciešams dot viennozīmīgu traktējumu, kā arī vispārējās definīcijas iekļaut likumos, nevis MK noteikumu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2.24</w:t>
            </w:r>
            <w:r w:rsidR="00000000" w:rsidRPr="00000000" w:rsidDel="00000000">
              <w:rPr>
                <w:vertAlign w:val="superscript"/>
                <w:rtl w:val="0"/>
              </w:rPr>
              <w:t xml:space="preserve">1 </w:t>
            </w:r>
            <w:r w:rsidR="00000000" w:rsidRPr="00000000" w:rsidDel="00000000">
              <w:rPr>
                <w:rtl w:val="0"/>
              </w:rPr>
              <w:t xml:space="preserve">seno mežu definīciju, jo tā būtu jānosaka vispārējos mežu apsaimniekošos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31.07.2025.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31.07.2025.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